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bookmarkStart w:id="0" w:name="_GoBack"/>
      <w:bookmarkEnd w:id="0"/>
      <w:r>
        <w:tab/>
      </w:r>
    </w:p>
    <w:p w:rsidR="003A2003" w:rsidRDefault="003A2003" w:rsidP="003A2003"/>
    <w:p w:rsidR="003A2003" w:rsidRDefault="003A2003" w:rsidP="003A2003"/>
    <w:p w:rsidR="003A2003" w:rsidRDefault="003A2003" w:rsidP="003A2003"/>
    <w:p w:rsidR="003A2003" w:rsidRDefault="009C1660" w:rsidP="003A2003">
      <w:pPr>
        <w:pStyle w:val="TitleDocument"/>
        <w:jc w:val="center"/>
        <w:rPr>
          <w:sz w:val="56"/>
        </w:rPr>
      </w:pPr>
      <w:r>
        <w:rPr>
          <w:sz w:val="56"/>
        </w:rPr>
        <w:t>Report</w:t>
      </w:r>
    </w:p>
    <w:p w:rsidR="003A2003" w:rsidRDefault="009C1660" w:rsidP="003A2003">
      <w:pPr>
        <w:pStyle w:val="TitleDocument"/>
        <w:jc w:val="center"/>
        <w:rPr>
          <w:sz w:val="56"/>
        </w:rPr>
      </w:pPr>
      <w:r>
        <w:rPr>
          <w:sz w:val="56"/>
        </w:rPr>
        <w:t>To the ILRI Board of Trustees</w:t>
      </w:r>
    </w:p>
    <w:p w:rsidR="00207CDA" w:rsidRPr="003A2003" w:rsidRDefault="009C1660" w:rsidP="003A2003">
      <w:pPr>
        <w:pStyle w:val="TitleDocument"/>
        <w:jc w:val="center"/>
        <w:rPr>
          <w:sz w:val="40"/>
          <w:szCs w:val="40"/>
        </w:rPr>
      </w:pPr>
      <w:r>
        <w:rPr>
          <w:sz w:val="40"/>
          <w:szCs w:val="40"/>
        </w:rPr>
        <w:t>Tom Randolph</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F01" w:rsidRDefault="00522F01" w:rsidP="003A2003">
                            <w:pPr>
                              <w:jc w:val="center"/>
                            </w:pPr>
                          </w:p>
                          <w:p w:rsidR="00522F01" w:rsidRDefault="00522F01" w:rsidP="003A2003">
                            <w:pPr>
                              <w:jc w:val="center"/>
                            </w:pPr>
                            <w:r>
                              <w:t>April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522F01" w:rsidRDefault="00522F01" w:rsidP="003A2003">
                      <w:pPr>
                        <w:jc w:val="center"/>
                      </w:pPr>
                    </w:p>
                    <w:p w:rsidR="00522F01" w:rsidRDefault="00522F01" w:rsidP="003A2003">
                      <w:pPr>
                        <w:jc w:val="center"/>
                      </w:pPr>
                      <w:r>
                        <w:t>April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w:t>
      </w:r>
      <w:r w:rsidR="00E11D85">
        <w:rPr>
          <w:sz w:val="20"/>
          <w:szCs w:val="20"/>
        </w:rPr>
        <w:t xml:space="preserve">and profitability </w:t>
      </w:r>
      <w:r w:rsidRPr="00000752">
        <w:rPr>
          <w:sz w:val="20"/>
          <w:szCs w:val="20"/>
        </w:rPr>
        <w:t>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9C1660" w:rsidRDefault="009C1660" w:rsidP="009C1660">
      <w:pPr>
        <w:rPr>
          <w:color w:val="auto"/>
        </w:rPr>
      </w:pPr>
      <w:r>
        <w:rPr>
          <w:color w:val="auto"/>
        </w:rPr>
        <w:lastRenderedPageBreak/>
        <w:t>This report covers the following seven topics for information:</w:t>
      </w:r>
    </w:p>
    <w:p w:rsidR="009C1660" w:rsidRDefault="00D873C0" w:rsidP="009C1660">
      <w:pPr>
        <w:pStyle w:val="ListParagraph"/>
        <w:numPr>
          <w:ilvl w:val="0"/>
          <w:numId w:val="11"/>
        </w:numPr>
        <w:rPr>
          <w:color w:val="auto"/>
        </w:rPr>
      </w:pPr>
      <w:r>
        <w:rPr>
          <w:color w:val="auto"/>
        </w:rPr>
        <w:t>Closing</w:t>
      </w:r>
      <w:r w:rsidR="009C1660">
        <w:rPr>
          <w:color w:val="auto"/>
        </w:rPr>
        <w:t xml:space="preserve"> the Livestock &amp; Fish CRP</w:t>
      </w:r>
    </w:p>
    <w:p w:rsidR="009C1660" w:rsidRDefault="009C1660" w:rsidP="004F1919">
      <w:pPr>
        <w:pStyle w:val="ListParagraph"/>
        <w:numPr>
          <w:ilvl w:val="1"/>
          <w:numId w:val="11"/>
        </w:numPr>
        <w:ind w:left="1170"/>
        <w:rPr>
          <w:color w:val="auto"/>
        </w:rPr>
      </w:pPr>
      <w:r>
        <w:rPr>
          <w:color w:val="auto"/>
        </w:rPr>
        <w:t>Final financial situation</w:t>
      </w:r>
    </w:p>
    <w:p w:rsidR="00C35592" w:rsidRDefault="00C35592" w:rsidP="004F1919">
      <w:pPr>
        <w:pStyle w:val="ListParagraph"/>
        <w:numPr>
          <w:ilvl w:val="1"/>
          <w:numId w:val="11"/>
        </w:numPr>
        <w:ind w:left="1170"/>
        <w:rPr>
          <w:color w:val="auto"/>
        </w:rPr>
      </w:pPr>
      <w:r>
        <w:rPr>
          <w:color w:val="auto"/>
        </w:rPr>
        <w:t>Science &amp; Partnership Advisory Committee</w:t>
      </w:r>
    </w:p>
    <w:p w:rsidR="009C1660" w:rsidRDefault="009C1660" w:rsidP="004F1919">
      <w:pPr>
        <w:pStyle w:val="ListParagraph"/>
        <w:numPr>
          <w:ilvl w:val="1"/>
          <w:numId w:val="11"/>
        </w:numPr>
        <w:ind w:left="1170"/>
        <w:rPr>
          <w:color w:val="auto"/>
        </w:rPr>
      </w:pPr>
      <w:r>
        <w:rPr>
          <w:color w:val="auto"/>
        </w:rPr>
        <w:t>Annual report</w:t>
      </w:r>
    </w:p>
    <w:p w:rsidR="009C1660" w:rsidRDefault="009C1660" w:rsidP="004F1919">
      <w:pPr>
        <w:pStyle w:val="ListParagraph"/>
        <w:numPr>
          <w:ilvl w:val="1"/>
          <w:numId w:val="11"/>
        </w:numPr>
        <w:ind w:left="1170"/>
        <w:rPr>
          <w:color w:val="auto"/>
        </w:rPr>
      </w:pPr>
      <w:r>
        <w:rPr>
          <w:color w:val="auto"/>
        </w:rPr>
        <w:t>Self-evaluation</w:t>
      </w:r>
    </w:p>
    <w:p w:rsidR="009C1660" w:rsidRDefault="009C1660" w:rsidP="009C1660">
      <w:pPr>
        <w:pStyle w:val="ListParagraph"/>
        <w:numPr>
          <w:ilvl w:val="0"/>
          <w:numId w:val="11"/>
        </w:numPr>
        <w:rPr>
          <w:color w:val="auto"/>
        </w:rPr>
      </w:pPr>
      <w:r>
        <w:rPr>
          <w:color w:val="auto"/>
        </w:rPr>
        <w:t>Plan of Work &amp; Budget 2017</w:t>
      </w:r>
    </w:p>
    <w:p w:rsidR="009C1660" w:rsidRDefault="009C1660" w:rsidP="009C1660">
      <w:pPr>
        <w:pStyle w:val="ListParagraph"/>
        <w:numPr>
          <w:ilvl w:val="0"/>
          <w:numId w:val="11"/>
        </w:numPr>
        <w:rPr>
          <w:color w:val="auto"/>
        </w:rPr>
      </w:pPr>
      <w:r>
        <w:rPr>
          <w:color w:val="auto"/>
        </w:rPr>
        <w:t>Financial outlook</w:t>
      </w:r>
    </w:p>
    <w:p w:rsidR="009C1660" w:rsidRDefault="009C1660" w:rsidP="009C1660">
      <w:pPr>
        <w:pStyle w:val="ListParagraph"/>
        <w:numPr>
          <w:ilvl w:val="0"/>
          <w:numId w:val="11"/>
        </w:numPr>
        <w:rPr>
          <w:color w:val="auto"/>
        </w:rPr>
      </w:pPr>
      <w:r>
        <w:rPr>
          <w:color w:val="auto"/>
        </w:rPr>
        <w:t>Independent Steering Committee</w:t>
      </w:r>
    </w:p>
    <w:p w:rsidR="00394DDD" w:rsidRDefault="00394DDD" w:rsidP="009C1660">
      <w:pPr>
        <w:pStyle w:val="ListParagraph"/>
        <w:numPr>
          <w:ilvl w:val="0"/>
          <w:numId w:val="11"/>
        </w:numPr>
        <w:rPr>
          <w:color w:val="auto"/>
        </w:rPr>
      </w:pPr>
      <w:r>
        <w:rPr>
          <w:color w:val="auto"/>
        </w:rPr>
        <w:t>Partnership</w:t>
      </w:r>
    </w:p>
    <w:p w:rsidR="009C1660" w:rsidRDefault="009C1660" w:rsidP="009C1660">
      <w:pPr>
        <w:pStyle w:val="ListParagraph"/>
        <w:numPr>
          <w:ilvl w:val="0"/>
          <w:numId w:val="11"/>
        </w:numPr>
        <w:rPr>
          <w:color w:val="auto"/>
        </w:rPr>
      </w:pPr>
      <w:r>
        <w:rPr>
          <w:color w:val="auto"/>
        </w:rPr>
        <w:t>Monitoring &amp; Evaluation</w:t>
      </w:r>
    </w:p>
    <w:p w:rsidR="009C1660" w:rsidRDefault="00D873C0" w:rsidP="009C1660">
      <w:pPr>
        <w:pStyle w:val="Heading1"/>
        <w:numPr>
          <w:ilvl w:val="0"/>
          <w:numId w:val="12"/>
        </w:numPr>
        <w:spacing w:line="240" w:lineRule="auto"/>
      </w:pPr>
      <w:r>
        <w:t>Closing the Livestock &amp; Fish CRP</w:t>
      </w:r>
    </w:p>
    <w:p w:rsidR="00D873C0" w:rsidRDefault="00D873C0" w:rsidP="009C1660">
      <w:r>
        <w:t>The Livestock &amp; Fish CRP was originally planned to be a 12-year program of four 3-year funding cycles, but in the end ran for 5 years on an initial 3-year</w:t>
      </w:r>
      <w:r w:rsidR="00AE4036">
        <w:t xml:space="preserve"> cycle with a 2-year extension, covering 2012-2016.</w:t>
      </w:r>
    </w:p>
    <w:p w:rsidR="00D873C0" w:rsidRPr="00EE7AB5" w:rsidRDefault="004F1919" w:rsidP="00D873C0">
      <w:pPr>
        <w:pStyle w:val="Heading1"/>
        <w:numPr>
          <w:ilvl w:val="1"/>
          <w:numId w:val="12"/>
        </w:numPr>
        <w:spacing w:line="240" w:lineRule="auto"/>
        <w:ind w:left="1080" w:hanging="720"/>
        <w:rPr>
          <w:sz w:val="36"/>
          <w:szCs w:val="36"/>
        </w:rPr>
      </w:pPr>
      <w:r w:rsidRPr="00EE7AB5">
        <w:rPr>
          <w:sz w:val="36"/>
          <w:szCs w:val="36"/>
        </w:rPr>
        <w:t>Ending</w:t>
      </w:r>
      <w:r w:rsidR="00D873C0" w:rsidRPr="00EE7AB5">
        <w:rPr>
          <w:sz w:val="36"/>
          <w:szCs w:val="36"/>
        </w:rPr>
        <w:t xml:space="preserve"> financial situation</w:t>
      </w:r>
    </w:p>
    <w:p w:rsidR="009C1660" w:rsidRDefault="00AE4036" w:rsidP="009C1660">
      <w:r>
        <w:t xml:space="preserve">The level of </w:t>
      </w:r>
      <w:r w:rsidR="00D873C0">
        <w:t xml:space="preserve">Window 1/2 </w:t>
      </w:r>
      <w:r>
        <w:t xml:space="preserve">funding </w:t>
      </w:r>
      <w:r w:rsidR="00D873C0">
        <w:t xml:space="preserve">for the CRP </w:t>
      </w:r>
      <w:r>
        <w:t xml:space="preserve">for 2016 </w:t>
      </w:r>
      <w:r w:rsidR="00D873C0">
        <w:t xml:space="preserve">remained </w:t>
      </w:r>
      <w:r>
        <w:t xml:space="preserve">largely </w:t>
      </w:r>
      <w:r w:rsidR="00D873C0">
        <w:t xml:space="preserve">uncertain until the very end of </w:t>
      </w:r>
      <w:r>
        <w:t>the year when the major donor contributions were finally revealed. Given that uncertainty, the CRP operated on a relatively conservative</w:t>
      </w:r>
      <w:r w:rsidR="00394DDD">
        <w:t xml:space="preserve"> 2016 W1/2</w:t>
      </w:r>
      <w:r>
        <w:t xml:space="preserve"> budget estimate</w:t>
      </w:r>
      <w:r w:rsidR="00394DDD">
        <w:t xml:space="preserve"> of $10.3</w:t>
      </w:r>
      <w:r>
        <w:t>m</w:t>
      </w:r>
      <w:r w:rsidR="00394DDD">
        <w:t xml:space="preserve"> as indicated in the 2016 Plan of Work &amp; Budget submitted at the beginning of the year</w:t>
      </w:r>
      <w:r>
        <w:t xml:space="preserve">. </w:t>
      </w:r>
      <w:r w:rsidR="00394DDD">
        <w:t>The late commitments were more than anticipated, translating into a total available 2016 W1/2 budget of $1</w:t>
      </w:r>
      <w:r w:rsidR="008D535D">
        <w:t>4</w:t>
      </w:r>
      <w:r w:rsidR="00394DDD">
        <w:t>.</w:t>
      </w:r>
      <w:r w:rsidR="00531B24">
        <w:t>8</w:t>
      </w:r>
      <w:r w:rsidR="00394DDD">
        <w:t>m</w:t>
      </w:r>
      <w:r w:rsidR="00531B24">
        <w:t>.</w:t>
      </w:r>
      <w:r w:rsidR="00394DDD">
        <w:t xml:space="preserve"> The last-minute increase in funding was </w:t>
      </w:r>
      <w:r w:rsidR="00094AB8">
        <w:t>allocated pro-rata to the implementing partners, with a portion used to return the CRP’s 2016 W1/2 operating budget to the originally intended level of $12.9m (which had been the 2015 W1/2 budget), and the remaining portion of $2.</w:t>
      </w:r>
      <w:r w:rsidR="00B67E16">
        <w:t>7</w:t>
      </w:r>
      <w:r w:rsidR="00094AB8">
        <w:t xml:space="preserve">m used to restore the expenditure made from each partner’s reserves in 2015 to compensate for the unanticipated W1/2 budget cuts that had </w:t>
      </w:r>
      <w:r w:rsidR="005715E6">
        <w:t>been imposed</w:t>
      </w:r>
      <w:r w:rsidR="00094AB8">
        <w:t xml:space="preserve"> from late 2014 through 2015.</w:t>
      </w:r>
      <w:r w:rsidR="005715E6">
        <w:t xml:space="preserve"> The disbursements were justified by sets of unplanned outputs that were delivered during 2015 and 2016, which demonstrated that the centres had incurred expenditure from their reserves to maintain activities and generate outputs given they had not been able to simply shut down activities with each budget cut.</w:t>
      </w:r>
      <w:r w:rsidR="000951AA">
        <w:t xml:space="preserve"> There was clearly a risk of perception that the CRP was ‘dividing up the spoils’ from the late W2 commitments that otherwise should be considered excess funding to be carried over to the 2</w:t>
      </w:r>
      <w:r w:rsidR="000951AA" w:rsidRPr="000951AA">
        <w:rPr>
          <w:vertAlign w:val="superscript"/>
        </w:rPr>
        <w:t>nd</w:t>
      </w:r>
      <w:r w:rsidR="000951AA">
        <w:t xml:space="preserve"> phase CRPs. The CRP management therefore consulted its W2 donors, asking them to endorse the proposed use of the funds. The principle was accepted. The System Management Office </w:t>
      </w:r>
      <w:r w:rsidR="009A381C">
        <w:t>initially challenged the decision, but seems to have accepted our explanation that the payments represent reimbursement of previous expenditure rather than distribution of excess carry-over.</w:t>
      </w:r>
    </w:p>
    <w:p w:rsidR="009A381C" w:rsidRDefault="009A381C" w:rsidP="009C1660">
      <w:r>
        <w:t>Table 1 summarizes annual funding levels over the five year program and highlights the variation that the 1</w:t>
      </w:r>
      <w:r w:rsidRPr="009A381C">
        <w:rPr>
          <w:vertAlign w:val="superscript"/>
        </w:rPr>
        <w:t>st</w:t>
      </w:r>
      <w:r>
        <w:t xml:space="preserve"> phase of CRPs has faced, but which was less dramatic for the Livestock &amp; Fish CRP due to its strong W2 funding</w:t>
      </w:r>
      <w:r w:rsidR="00A43B3D">
        <w:t>.</w:t>
      </w:r>
    </w:p>
    <w:p w:rsidR="003C74E4" w:rsidRDefault="003C74E4" w:rsidP="009C1660">
      <w:pPr>
        <w:rPr>
          <w:b/>
        </w:rPr>
      </w:pPr>
      <w:r w:rsidRPr="003C74E4">
        <w:rPr>
          <w:b/>
        </w:rPr>
        <w:lastRenderedPageBreak/>
        <w:t xml:space="preserve">Table 1. Livestock &amp; Fish CRP </w:t>
      </w:r>
      <w:r>
        <w:rPr>
          <w:b/>
        </w:rPr>
        <w:t>planned and executed budget, 2012-2016</w:t>
      </w:r>
      <w:r w:rsidR="005A527A">
        <w:rPr>
          <w:b/>
        </w:rPr>
        <w:t xml:space="preserve"> (million USD)</w:t>
      </w:r>
    </w:p>
    <w:tbl>
      <w:tblPr>
        <w:tblStyle w:val="TableGrid"/>
        <w:tblW w:w="8365" w:type="dxa"/>
        <w:tblLayout w:type="fixed"/>
        <w:tblLook w:val="04A0" w:firstRow="1" w:lastRow="0" w:firstColumn="1" w:lastColumn="0" w:noHBand="0" w:noVBand="1"/>
      </w:tblPr>
      <w:tblGrid>
        <w:gridCol w:w="895"/>
        <w:gridCol w:w="1080"/>
        <w:gridCol w:w="1440"/>
        <w:gridCol w:w="1080"/>
        <w:gridCol w:w="1170"/>
        <w:gridCol w:w="1440"/>
        <w:gridCol w:w="1260"/>
      </w:tblGrid>
      <w:tr w:rsidR="008017E7" w:rsidTr="00531B24">
        <w:tc>
          <w:tcPr>
            <w:tcW w:w="895" w:type="dxa"/>
            <w:vMerge w:val="restart"/>
            <w:vAlign w:val="bottom"/>
          </w:tcPr>
          <w:p w:rsidR="008017E7" w:rsidRDefault="008017E7" w:rsidP="00531B24">
            <w:pPr>
              <w:rPr>
                <w:b/>
              </w:rPr>
            </w:pPr>
            <w:r>
              <w:rPr>
                <w:b/>
              </w:rPr>
              <w:t>Year</w:t>
            </w:r>
          </w:p>
        </w:tc>
        <w:tc>
          <w:tcPr>
            <w:tcW w:w="3600" w:type="dxa"/>
            <w:gridSpan w:val="3"/>
          </w:tcPr>
          <w:p w:rsidR="008017E7" w:rsidRDefault="008017E7" w:rsidP="00E47F00">
            <w:pPr>
              <w:jc w:val="center"/>
              <w:rPr>
                <w:b/>
              </w:rPr>
            </w:pPr>
            <w:r>
              <w:rPr>
                <w:b/>
              </w:rPr>
              <w:t>Beginning</w:t>
            </w:r>
            <w:r w:rsidR="00E47F00">
              <w:rPr>
                <w:b/>
              </w:rPr>
              <w:t>-</w:t>
            </w:r>
            <w:r>
              <w:rPr>
                <w:b/>
              </w:rPr>
              <w:t>of</w:t>
            </w:r>
            <w:r w:rsidR="00E47F00">
              <w:rPr>
                <w:b/>
              </w:rPr>
              <w:t>-</w:t>
            </w:r>
            <w:r>
              <w:rPr>
                <w:b/>
              </w:rPr>
              <w:t>year Budget</w:t>
            </w:r>
          </w:p>
        </w:tc>
        <w:tc>
          <w:tcPr>
            <w:tcW w:w="3870" w:type="dxa"/>
            <w:gridSpan w:val="3"/>
          </w:tcPr>
          <w:p w:rsidR="008017E7" w:rsidRDefault="008017E7" w:rsidP="00D60298">
            <w:pPr>
              <w:jc w:val="center"/>
              <w:rPr>
                <w:b/>
              </w:rPr>
            </w:pPr>
            <w:r>
              <w:rPr>
                <w:b/>
              </w:rPr>
              <w:t>Expenditure</w:t>
            </w:r>
          </w:p>
        </w:tc>
      </w:tr>
      <w:tr w:rsidR="00D60298" w:rsidTr="00D60298">
        <w:tc>
          <w:tcPr>
            <w:tcW w:w="895" w:type="dxa"/>
            <w:vMerge/>
          </w:tcPr>
          <w:p w:rsidR="008017E7" w:rsidRDefault="008017E7" w:rsidP="00D60298">
            <w:pPr>
              <w:jc w:val="center"/>
              <w:rPr>
                <w:b/>
              </w:rPr>
            </w:pPr>
          </w:p>
        </w:tc>
        <w:tc>
          <w:tcPr>
            <w:tcW w:w="1080" w:type="dxa"/>
          </w:tcPr>
          <w:p w:rsidR="008017E7" w:rsidRDefault="008017E7" w:rsidP="00D60298">
            <w:pPr>
              <w:jc w:val="center"/>
              <w:rPr>
                <w:b/>
              </w:rPr>
            </w:pPr>
            <w:r>
              <w:rPr>
                <w:b/>
              </w:rPr>
              <w:t>W1/2</w:t>
            </w:r>
          </w:p>
        </w:tc>
        <w:tc>
          <w:tcPr>
            <w:tcW w:w="1440" w:type="dxa"/>
          </w:tcPr>
          <w:p w:rsidR="008017E7" w:rsidRDefault="008017E7" w:rsidP="00D60298">
            <w:pPr>
              <w:jc w:val="center"/>
              <w:rPr>
                <w:b/>
              </w:rPr>
            </w:pPr>
            <w:r>
              <w:rPr>
                <w:b/>
              </w:rPr>
              <w:t>W3/Bilateral</w:t>
            </w:r>
          </w:p>
        </w:tc>
        <w:tc>
          <w:tcPr>
            <w:tcW w:w="1080" w:type="dxa"/>
          </w:tcPr>
          <w:p w:rsidR="008017E7" w:rsidRDefault="008017E7" w:rsidP="00D60298">
            <w:pPr>
              <w:jc w:val="center"/>
              <w:rPr>
                <w:b/>
              </w:rPr>
            </w:pPr>
            <w:r>
              <w:rPr>
                <w:b/>
              </w:rPr>
              <w:t>Total</w:t>
            </w:r>
          </w:p>
        </w:tc>
        <w:tc>
          <w:tcPr>
            <w:tcW w:w="1170" w:type="dxa"/>
          </w:tcPr>
          <w:p w:rsidR="008017E7" w:rsidRDefault="008017E7" w:rsidP="00D60298">
            <w:pPr>
              <w:jc w:val="center"/>
              <w:rPr>
                <w:b/>
              </w:rPr>
            </w:pPr>
            <w:r>
              <w:rPr>
                <w:b/>
              </w:rPr>
              <w:t>W1/2</w:t>
            </w:r>
          </w:p>
        </w:tc>
        <w:tc>
          <w:tcPr>
            <w:tcW w:w="1440" w:type="dxa"/>
          </w:tcPr>
          <w:p w:rsidR="008017E7" w:rsidRDefault="008017E7" w:rsidP="00D60298">
            <w:pPr>
              <w:jc w:val="center"/>
              <w:rPr>
                <w:b/>
              </w:rPr>
            </w:pPr>
            <w:r>
              <w:rPr>
                <w:b/>
              </w:rPr>
              <w:t>W3/Bilateral</w:t>
            </w:r>
          </w:p>
        </w:tc>
        <w:tc>
          <w:tcPr>
            <w:tcW w:w="1260" w:type="dxa"/>
          </w:tcPr>
          <w:p w:rsidR="008017E7" w:rsidRDefault="008017E7" w:rsidP="00D60298">
            <w:pPr>
              <w:jc w:val="center"/>
              <w:rPr>
                <w:b/>
              </w:rPr>
            </w:pPr>
            <w:r>
              <w:rPr>
                <w:b/>
              </w:rPr>
              <w:t>Total</w:t>
            </w:r>
          </w:p>
        </w:tc>
      </w:tr>
      <w:tr w:rsidR="008017E7" w:rsidTr="00D60298">
        <w:tc>
          <w:tcPr>
            <w:tcW w:w="895" w:type="dxa"/>
          </w:tcPr>
          <w:p w:rsidR="00D60298" w:rsidRPr="00531B24" w:rsidRDefault="00D60298" w:rsidP="009C1660">
            <w:r w:rsidRPr="00531B24">
              <w:t>2012</w:t>
            </w:r>
          </w:p>
        </w:tc>
        <w:tc>
          <w:tcPr>
            <w:tcW w:w="1080" w:type="dxa"/>
          </w:tcPr>
          <w:p w:rsidR="008017E7" w:rsidRPr="00531B24" w:rsidRDefault="005A527A" w:rsidP="005A527A">
            <w:pPr>
              <w:jc w:val="right"/>
            </w:pPr>
            <w:r w:rsidRPr="00531B24">
              <w:t>10.</w:t>
            </w:r>
            <w:r w:rsidR="00AC6E72" w:rsidRPr="00531B24">
              <w:t>33</w:t>
            </w:r>
          </w:p>
        </w:tc>
        <w:tc>
          <w:tcPr>
            <w:tcW w:w="1440" w:type="dxa"/>
          </w:tcPr>
          <w:p w:rsidR="008017E7" w:rsidRPr="00531B24" w:rsidRDefault="00AC6E72" w:rsidP="005A527A">
            <w:pPr>
              <w:jc w:val="right"/>
            </w:pPr>
            <w:r w:rsidRPr="00531B24">
              <w:t>1</w:t>
            </w:r>
            <w:r w:rsidR="005A527A" w:rsidRPr="00531B24">
              <w:t>1.16</w:t>
            </w:r>
          </w:p>
        </w:tc>
        <w:tc>
          <w:tcPr>
            <w:tcW w:w="1080" w:type="dxa"/>
          </w:tcPr>
          <w:p w:rsidR="008017E7" w:rsidRPr="00531B24" w:rsidRDefault="00AC6E72" w:rsidP="005A527A">
            <w:pPr>
              <w:jc w:val="right"/>
            </w:pPr>
            <w:r w:rsidRPr="00531B24">
              <w:t>21</w:t>
            </w:r>
            <w:r w:rsidR="005A527A" w:rsidRPr="00531B24">
              <w:t>.4</w:t>
            </w:r>
            <w:r w:rsidRPr="00531B24">
              <w:t>9</w:t>
            </w:r>
          </w:p>
        </w:tc>
        <w:tc>
          <w:tcPr>
            <w:tcW w:w="1170" w:type="dxa"/>
          </w:tcPr>
          <w:p w:rsidR="008017E7" w:rsidRPr="00531B24" w:rsidRDefault="00AC6E72" w:rsidP="005A527A">
            <w:pPr>
              <w:jc w:val="right"/>
            </w:pPr>
            <w:r w:rsidRPr="00531B24">
              <w:t>8</w:t>
            </w:r>
            <w:r w:rsidR="005A527A" w:rsidRPr="00531B24">
              <w:t>.</w:t>
            </w:r>
            <w:r w:rsidRPr="00531B24">
              <w:t>6</w:t>
            </w:r>
            <w:r w:rsidR="005A527A" w:rsidRPr="00531B24">
              <w:t>6</w:t>
            </w:r>
          </w:p>
        </w:tc>
        <w:tc>
          <w:tcPr>
            <w:tcW w:w="1440" w:type="dxa"/>
          </w:tcPr>
          <w:p w:rsidR="008017E7" w:rsidRPr="00531B24" w:rsidRDefault="005A527A" w:rsidP="005A527A">
            <w:pPr>
              <w:jc w:val="right"/>
            </w:pPr>
            <w:r w:rsidRPr="00531B24">
              <w:t>8.29</w:t>
            </w:r>
          </w:p>
        </w:tc>
        <w:tc>
          <w:tcPr>
            <w:tcW w:w="1260" w:type="dxa"/>
          </w:tcPr>
          <w:p w:rsidR="008017E7" w:rsidRPr="00531B24" w:rsidRDefault="005A527A" w:rsidP="005A527A">
            <w:pPr>
              <w:jc w:val="right"/>
            </w:pPr>
            <w:r w:rsidRPr="00531B24">
              <w:t>16.</w:t>
            </w:r>
            <w:r w:rsidR="00377D2D" w:rsidRPr="00531B24">
              <w:t>9</w:t>
            </w:r>
            <w:r w:rsidRPr="00531B24">
              <w:t>5</w:t>
            </w:r>
          </w:p>
        </w:tc>
      </w:tr>
      <w:tr w:rsidR="008017E7" w:rsidTr="00D60298">
        <w:tc>
          <w:tcPr>
            <w:tcW w:w="895" w:type="dxa"/>
          </w:tcPr>
          <w:p w:rsidR="008017E7" w:rsidRPr="00531B24" w:rsidRDefault="00D60298" w:rsidP="009C1660">
            <w:r w:rsidRPr="00531B24">
              <w:t>2013</w:t>
            </w:r>
          </w:p>
        </w:tc>
        <w:tc>
          <w:tcPr>
            <w:tcW w:w="1080" w:type="dxa"/>
          </w:tcPr>
          <w:p w:rsidR="008017E7" w:rsidRPr="00531B24" w:rsidRDefault="005A527A" w:rsidP="005A527A">
            <w:pPr>
              <w:jc w:val="right"/>
            </w:pPr>
            <w:r w:rsidRPr="00531B24">
              <w:t>14.20</w:t>
            </w:r>
          </w:p>
        </w:tc>
        <w:tc>
          <w:tcPr>
            <w:tcW w:w="1440" w:type="dxa"/>
          </w:tcPr>
          <w:p w:rsidR="008017E7" w:rsidRPr="00531B24" w:rsidRDefault="005A527A" w:rsidP="005A527A">
            <w:pPr>
              <w:jc w:val="right"/>
            </w:pPr>
            <w:r w:rsidRPr="00531B24">
              <w:t>13.37</w:t>
            </w:r>
          </w:p>
        </w:tc>
        <w:tc>
          <w:tcPr>
            <w:tcW w:w="1080" w:type="dxa"/>
          </w:tcPr>
          <w:p w:rsidR="008017E7" w:rsidRPr="00531B24" w:rsidRDefault="005A527A" w:rsidP="005A527A">
            <w:pPr>
              <w:jc w:val="right"/>
            </w:pPr>
            <w:r w:rsidRPr="00531B24">
              <w:t>27.57</w:t>
            </w:r>
          </w:p>
        </w:tc>
        <w:tc>
          <w:tcPr>
            <w:tcW w:w="1170" w:type="dxa"/>
          </w:tcPr>
          <w:p w:rsidR="008017E7" w:rsidRPr="00531B24" w:rsidRDefault="005A527A" w:rsidP="005A527A">
            <w:pPr>
              <w:jc w:val="right"/>
            </w:pPr>
            <w:r w:rsidRPr="00531B24">
              <w:t>11.39</w:t>
            </w:r>
          </w:p>
        </w:tc>
        <w:tc>
          <w:tcPr>
            <w:tcW w:w="1440" w:type="dxa"/>
          </w:tcPr>
          <w:p w:rsidR="008017E7" w:rsidRPr="00531B24" w:rsidRDefault="005A527A" w:rsidP="005A527A">
            <w:pPr>
              <w:jc w:val="right"/>
            </w:pPr>
            <w:r w:rsidRPr="00531B24">
              <w:t>13.06</w:t>
            </w:r>
          </w:p>
        </w:tc>
        <w:tc>
          <w:tcPr>
            <w:tcW w:w="1260" w:type="dxa"/>
          </w:tcPr>
          <w:p w:rsidR="008017E7" w:rsidRPr="00531B24" w:rsidRDefault="005A527A" w:rsidP="005A527A">
            <w:pPr>
              <w:jc w:val="right"/>
            </w:pPr>
            <w:r w:rsidRPr="00531B24">
              <w:t>24.44</w:t>
            </w:r>
          </w:p>
        </w:tc>
      </w:tr>
      <w:tr w:rsidR="008017E7" w:rsidTr="00D60298">
        <w:tc>
          <w:tcPr>
            <w:tcW w:w="895" w:type="dxa"/>
          </w:tcPr>
          <w:p w:rsidR="008017E7" w:rsidRPr="00531B24" w:rsidRDefault="00D60298" w:rsidP="009C1660">
            <w:r w:rsidRPr="00531B24">
              <w:t>2014</w:t>
            </w:r>
          </w:p>
        </w:tc>
        <w:tc>
          <w:tcPr>
            <w:tcW w:w="1080" w:type="dxa"/>
          </w:tcPr>
          <w:p w:rsidR="008017E7" w:rsidRPr="00531B24" w:rsidRDefault="005A527A" w:rsidP="005A527A">
            <w:pPr>
              <w:jc w:val="right"/>
            </w:pPr>
            <w:r w:rsidRPr="00531B24">
              <w:t>17.</w:t>
            </w:r>
            <w:r w:rsidR="00AC6E72" w:rsidRPr="00531B24">
              <w:t>02</w:t>
            </w:r>
          </w:p>
        </w:tc>
        <w:tc>
          <w:tcPr>
            <w:tcW w:w="1440" w:type="dxa"/>
          </w:tcPr>
          <w:p w:rsidR="008017E7" w:rsidRPr="00531B24" w:rsidRDefault="00AC6E72" w:rsidP="005A527A">
            <w:pPr>
              <w:jc w:val="right"/>
            </w:pPr>
            <w:r w:rsidRPr="00531B24">
              <w:t>1</w:t>
            </w:r>
            <w:r w:rsidR="005A527A" w:rsidRPr="00531B24">
              <w:t>8.12</w:t>
            </w:r>
          </w:p>
        </w:tc>
        <w:tc>
          <w:tcPr>
            <w:tcW w:w="1080" w:type="dxa"/>
          </w:tcPr>
          <w:p w:rsidR="008017E7" w:rsidRPr="00531B24" w:rsidRDefault="005A527A" w:rsidP="005A527A">
            <w:pPr>
              <w:jc w:val="right"/>
            </w:pPr>
            <w:r w:rsidRPr="00531B24">
              <w:t>35.14</w:t>
            </w:r>
          </w:p>
        </w:tc>
        <w:tc>
          <w:tcPr>
            <w:tcW w:w="1170" w:type="dxa"/>
          </w:tcPr>
          <w:p w:rsidR="008017E7" w:rsidRPr="00531B24" w:rsidRDefault="005A527A" w:rsidP="005A527A">
            <w:pPr>
              <w:jc w:val="right"/>
            </w:pPr>
            <w:r w:rsidRPr="00531B24">
              <w:t>15.23</w:t>
            </w:r>
          </w:p>
        </w:tc>
        <w:tc>
          <w:tcPr>
            <w:tcW w:w="1440" w:type="dxa"/>
          </w:tcPr>
          <w:p w:rsidR="008017E7" w:rsidRPr="00531B24" w:rsidRDefault="005A527A" w:rsidP="005A527A">
            <w:pPr>
              <w:jc w:val="right"/>
            </w:pPr>
            <w:r w:rsidRPr="00531B24">
              <w:t>16.39</w:t>
            </w:r>
          </w:p>
        </w:tc>
        <w:tc>
          <w:tcPr>
            <w:tcW w:w="1260" w:type="dxa"/>
          </w:tcPr>
          <w:p w:rsidR="008017E7" w:rsidRPr="00531B24" w:rsidRDefault="005A527A" w:rsidP="005A527A">
            <w:pPr>
              <w:jc w:val="right"/>
            </w:pPr>
            <w:r w:rsidRPr="00531B24">
              <w:t>31.62</w:t>
            </w:r>
          </w:p>
        </w:tc>
      </w:tr>
      <w:tr w:rsidR="008017E7" w:rsidTr="00D60298">
        <w:tc>
          <w:tcPr>
            <w:tcW w:w="895" w:type="dxa"/>
          </w:tcPr>
          <w:p w:rsidR="008017E7" w:rsidRPr="00531B24" w:rsidRDefault="00D60298" w:rsidP="009C1660">
            <w:r w:rsidRPr="00531B24">
              <w:t>2015</w:t>
            </w:r>
          </w:p>
        </w:tc>
        <w:tc>
          <w:tcPr>
            <w:tcW w:w="1080" w:type="dxa"/>
          </w:tcPr>
          <w:p w:rsidR="008017E7" w:rsidRPr="00531B24" w:rsidRDefault="005A527A" w:rsidP="005A527A">
            <w:pPr>
              <w:jc w:val="right"/>
            </w:pPr>
            <w:r w:rsidRPr="00531B24">
              <w:t>11.95</w:t>
            </w:r>
          </w:p>
        </w:tc>
        <w:tc>
          <w:tcPr>
            <w:tcW w:w="1440" w:type="dxa"/>
          </w:tcPr>
          <w:p w:rsidR="008017E7" w:rsidRPr="00531B24" w:rsidRDefault="00AC6E72" w:rsidP="005A527A">
            <w:pPr>
              <w:jc w:val="right"/>
            </w:pPr>
            <w:r w:rsidRPr="00531B24">
              <w:t>20</w:t>
            </w:r>
            <w:r w:rsidR="005A527A" w:rsidRPr="00531B24">
              <w:t>.</w:t>
            </w:r>
            <w:r w:rsidRPr="00531B24">
              <w:t>2</w:t>
            </w:r>
            <w:r w:rsidR="005A527A" w:rsidRPr="00531B24">
              <w:t>3</w:t>
            </w:r>
          </w:p>
        </w:tc>
        <w:tc>
          <w:tcPr>
            <w:tcW w:w="1080" w:type="dxa"/>
          </w:tcPr>
          <w:p w:rsidR="008017E7" w:rsidRPr="00531B24" w:rsidRDefault="00377D2D" w:rsidP="005A527A">
            <w:pPr>
              <w:jc w:val="right"/>
            </w:pPr>
            <w:r w:rsidRPr="00531B24">
              <w:t>3</w:t>
            </w:r>
            <w:r w:rsidR="005A527A" w:rsidRPr="00531B24">
              <w:t>2.</w:t>
            </w:r>
            <w:r w:rsidRPr="00531B24">
              <w:t>1</w:t>
            </w:r>
            <w:r w:rsidR="005A527A" w:rsidRPr="00531B24">
              <w:t>8</w:t>
            </w:r>
          </w:p>
        </w:tc>
        <w:tc>
          <w:tcPr>
            <w:tcW w:w="1170" w:type="dxa"/>
          </w:tcPr>
          <w:p w:rsidR="008017E7" w:rsidRPr="00531B24" w:rsidRDefault="005A527A" w:rsidP="005A527A">
            <w:pPr>
              <w:jc w:val="right"/>
            </w:pPr>
            <w:r w:rsidRPr="00531B24">
              <w:t>14.37</w:t>
            </w:r>
          </w:p>
        </w:tc>
        <w:tc>
          <w:tcPr>
            <w:tcW w:w="1440" w:type="dxa"/>
          </w:tcPr>
          <w:p w:rsidR="008017E7" w:rsidRPr="00531B24" w:rsidRDefault="005A527A" w:rsidP="005A527A">
            <w:pPr>
              <w:jc w:val="right"/>
            </w:pPr>
            <w:r w:rsidRPr="00531B24">
              <w:t>14.</w:t>
            </w:r>
            <w:r w:rsidR="00AC6E72" w:rsidRPr="00531B24">
              <w:t>0</w:t>
            </w:r>
            <w:r w:rsidRPr="00531B24">
              <w:t>3</w:t>
            </w:r>
          </w:p>
        </w:tc>
        <w:tc>
          <w:tcPr>
            <w:tcW w:w="1260" w:type="dxa"/>
          </w:tcPr>
          <w:p w:rsidR="008017E7" w:rsidRPr="00531B24" w:rsidRDefault="005A527A" w:rsidP="005A527A">
            <w:pPr>
              <w:jc w:val="right"/>
            </w:pPr>
            <w:r w:rsidRPr="00531B24">
              <w:t>28.40</w:t>
            </w:r>
          </w:p>
        </w:tc>
      </w:tr>
      <w:tr w:rsidR="008017E7" w:rsidTr="00D60298">
        <w:tc>
          <w:tcPr>
            <w:tcW w:w="895" w:type="dxa"/>
          </w:tcPr>
          <w:p w:rsidR="008017E7" w:rsidRPr="00531B24" w:rsidRDefault="00D60298" w:rsidP="009C1660">
            <w:r w:rsidRPr="00531B24">
              <w:t>2016</w:t>
            </w:r>
            <w:r w:rsidR="005A527A" w:rsidRPr="00531B24">
              <w:t>*</w:t>
            </w:r>
          </w:p>
        </w:tc>
        <w:tc>
          <w:tcPr>
            <w:tcW w:w="1080" w:type="dxa"/>
          </w:tcPr>
          <w:p w:rsidR="008017E7" w:rsidRPr="00531B24" w:rsidRDefault="00B45FED" w:rsidP="00B45FED">
            <w:pPr>
              <w:jc w:val="right"/>
            </w:pPr>
            <w:r w:rsidRPr="00531B24">
              <w:t>10.34</w:t>
            </w:r>
          </w:p>
        </w:tc>
        <w:tc>
          <w:tcPr>
            <w:tcW w:w="1440" w:type="dxa"/>
          </w:tcPr>
          <w:p w:rsidR="008017E7" w:rsidRPr="00531B24" w:rsidRDefault="00B45FED" w:rsidP="00B45FED">
            <w:pPr>
              <w:jc w:val="right"/>
            </w:pPr>
            <w:r w:rsidRPr="00531B24">
              <w:t>26.15</w:t>
            </w:r>
          </w:p>
        </w:tc>
        <w:tc>
          <w:tcPr>
            <w:tcW w:w="1080" w:type="dxa"/>
          </w:tcPr>
          <w:p w:rsidR="008017E7" w:rsidRPr="00531B24" w:rsidRDefault="00B45FED" w:rsidP="00B45FED">
            <w:pPr>
              <w:jc w:val="right"/>
            </w:pPr>
            <w:r w:rsidRPr="00531B24">
              <w:t>36.49</w:t>
            </w:r>
          </w:p>
        </w:tc>
        <w:tc>
          <w:tcPr>
            <w:tcW w:w="1170" w:type="dxa"/>
          </w:tcPr>
          <w:p w:rsidR="008017E7" w:rsidRPr="00531B24" w:rsidRDefault="00B45FED" w:rsidP="00B45FED">
            <w:pPr>
              <w:jc w:val="right"/>
            </w:pPr>
            <w:r w:rsidRPr="00531B24">
              <w:t>14.82</w:t>
            </w:r>
          </w:p>
        </w:tc>
        <w:tc>
          <w:tcPr>
            <w:tcW w:w="1440" w:type="dxa"/>
          </w:tcPr>
          <w:p w:rsidR="008017E7" w:rsidRPr="00531B24" w:rsidRDefault="00B45FED" w:rsidP="00B45FED">
            <w:pPr>
              <w:jc w:val="right"/>
            </w:pPr>
            <w:r w:rsidRPr="00531B24">
              <w:t>27.25</w:t>
            </w:r>
          </w:p>
        </w:tc>
        <w:tc>
          <w:tcPr>
            <w:tcW w:w="1260" w:type="dxa"/>
          </w:tcPr>
          <w:p w:rsidR="008017E7" w:rsidRPr="00531B24" w:rsidRDefault="00B45FED" w:rsidP="00B45FED">
            <w:pPr>
              <w:jc w:val="right"/>
            </w:pPr>
            <w:r w:rsidRPr="00531B24">
              <w:t>42.07</w:t>
            </w:r>
          </w:p>
        </w:tc>
      </w:tr>
      <w:tr w:rsidR="00D60298" w:rsidTr="00D60298">
        <w:tc>
          <w:tcPr>
            <w:tcW w:w="895" w:type="dxa"/>
          </w:tcPr>
          <w:p w:rsidR="00D60298" w:rsidRPr="00531B24" w:rsidRDefault="00D60298" w:rsidP="009C1660">
            <w:r w:rsidRPr="00531B24">
              <w:t>TOTAL</w:t>
            </w:r>
          </w:p>
        </w:tc>
        <w:tc>
          <w:tcPr>
            <w:tcW w:w="1080" w:type="dxa"/>
            <w:shd w:val="clear" w:color="auto" w:fill="D9D9D9" w:themeFill="background1" w:themeFillShade="D9"/>
          </w:tcPr>
          <w:p w:rsidR="00D60298" w:rsidRPr="00531B24" w:rsidRDefault="00D60298" w:rsidP="00B45FED">
            <w:pPr>
              <w:jc w:val="right"/>
            </w:pPr>
          </w:p>
        </w:tc>
        <w:tc>
          <w:tcPr>
            <w:tcW w:w="1440" w:type="dxa"/>
            <w:shd w:val="clear" w:color="auto" w:fill="D9D9D9" w:themeFill="background1" w:themeFillShade="D9"/>
          </w:tcPr>
          <w:p w:rsidR="00D60298" w:rsidRPr="00531B24" w:rsidRDefault="00D60298" w:rsidP="00B45FED">
            <w:pPr>
              <w:jc w:val="right"/>
            </w:pPr>
          </w:p>
        </w:tc>
        <w:tc>
          <w:tcPr>
            <w:tcW w:w="1080" w:type="dxa"/>
            <w:shd w:val="clear" w:color="auto" w:fill="D9D9D9" w:themeFill="background1" w:themeFillShade="D9"/>
          </w:tcPr>
          <w:p w:rsidR="00D60298" w:rsidRPr="00531B24" w:rsidRDefault="00D60298" w:rsidP="00B45FED">
            <w:pPr>
              <w:jc w:val="right"/>
            </w:pPr>
          </w:p>
        </w:tc>
        <w:tc>
          <w:tcPr>
            <w:tcW w:w="1170" w:type="dxa"/>
          </w:tcPr>
          <w:p w:rsidR="00D60298" w:rsidRPr="00531B24" w:rsidRDefault="00B45FED" w:rsidP="00B45FED">
            <w:pPr>
              <w:jc w:val="right"/>
            </w:pPr>
            <w:r w:rsidRPr="00531B24">
              <w:t>64.47</w:t>
            </w:r>
          </w:p>
        </w:tc>
        <w:tc>
          <w:tcPr>
            <w:tcW w:w="1440" w:type="dxa"/>
          </w:tcPr>
          <w:p w:rsidR="00D60298" w:rsidRPr="00531B24" w:rsidRDefault="00B45FED" w:rsidP="00B45FED">
            <w:pPr>
              <w:jc w:val="right"/>
            </w:pPr>
            <w:r w:rsidRPr="00531B24">
              <w:t>79.02</w:t>
            </w:r>
          </w:p>
        </w:tc>
        <w:tc>
          <w:tcPr>
            <w:tcW w:w="1260" w:type="dxa"/>
          </w:tcPr>
          <w:p w:rsidR="00D60298" w:rsidRPr="00531B24" w:rsidRDefault="00B45FED" w:rsidP="00B45FED">
            <w:pPr>
              <w:jc w:val="right"/>
            </w:pPr>
            <w:r w:rsidRPr="00531B24">
              <w:t>143.48</w:t>
            </w:r>
          </w:p>
        </w:tc>
      </w:tr>
    </w:tbl>
    <w:p w:rsidR="003C74E4" w:rsidRPr="003C74E4" w:rsidRDefault="005A527A" w:rsidP="009C1660">
      <w:pPr>
        <w:rPr>
          <w:b/>
        </w:rPr>
      </w:pPr>
      <w:r w:rsidRPr="00B45FED">
        <w:rPr>
          <w:b/>
        </w:rPr>
        <w:t>*</w:t>
      </w:r>
      <w:r w:rsidR="00B45FED">
        <w:rPr>
          <w:sz w:val="20"/>
          <w:szCs w:val="20"/>
        </w:rPr>
        <w:t>Preliminary expenditure estimates</w:t>
      </w:r>
    </w:p>
    <w:p w:rsidR="00A43B3D" w:rsidRDefault="00A43B3D" w:rsidP="009C1660">
      <w:r>
        <w:t xml:space="preserve">Table 2 tracks the annual contributions from W1 and from W2 donors. </w:t>
      </w:r>
    </w:p>
    <w:p w:rsidR="004F1919" w:rsidRPr="004F1919" w:rsidRDefault="004F1919" w:rsidP="009C1660">
      <w:pPr>
        <w:rPr>
          <w:b/>
        </w:rPr>
      </w:pPr>
      <w:r w:rsidRPr="004F1919">
        <w:rPr>
          <w:b/>
        </w:rPr>
        <w:t>Table 2. Window 1/2 contributions to the Livestock &amp; Fish CRP, 2012-2016 (millions USD)</w:t>
      </w:r>
    </w:p>
    <w:tbl>
      <w:tblPr>
        <w:tblW w:w="8036" w:type="dxa"/>
        <w:tblLook w:val="04A0" w:firstRow="1" w:lastRow="0" w:firstColumn="1" w:lastColumn="0" w:noHBand="0" w:noVBand="1"/>
      </w:tblPr>
      <w:tblGrid>
        <w:gridCol w:w="1800"/>
        <w:gridCol w:w="900"/>
        <w:gridCol w:w="810"/>
        <w:gridCol w:w="900"/>
        <w:gridCol w:w="900"/>
        <w:gridCol w:w="806"/>
        <w:gridCol w:w="960"/>
        <w:gridCol w:w="960"/>
      </w:tblGrid>
      <w:tr w:rsidR="004F1919" w:rsidRPr="00A43B3D" w:rsidTr="004F1919">
        <w:trPr>
          <w:trHeight w:val="315"/>
        </w:trPr>
        <w:tc>
          <w:tcPr>
            <w:tcW w:w="18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Donor</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2012</w:t>
            </w:r>
          </w:p>
        </w:tc>
        <w:tc>
          <w:tcPr>
            <w:tcW w:w="81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2013</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2014</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2015</w:t>
            </w:r>
          </w:p>
        </w:tc>
        <w:tc>
          <w:tcPr>
            <w:tcW w:w="806"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2016</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TOTAL</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Share</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USA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6.86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7.84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3.92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2.94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21.56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Netherlands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3.68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20.53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Sweden</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5.25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UK</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Australia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3.86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W</w:t>
            </w:r>
            <w:r w:rsidR="004F1919">
              <w:rPr>
                <w:rFonts w:ascii="Calibri" w:eastAsia="Times New Roman" w:hAnsi="Calibri" w:cs="Times New Roman"/>
                <w:color w:val="000000"/>
                <w:lang w:val="en-US" w:eastAsia="en-US"/>
              </w:rPr>
              <w:t xml:space="preserve">indow </w:t>
            </w:r>
            <w:r w:rsidRPr="00A43B3D">
              <w:rPr>
                <w:rFonts w:ascii="Calibri" w:eastAsia="Times New Roman" w:hAnsi="Calibri" w:cs="Times New Roman"/>
                <w:color w:val="000000"/>
                <w:lang w:val="en-US" w:eastAsia="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0.72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Finland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1.26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w:t>
            </w:r>
          </w:p>
        </w:tc>
      </w:tr>
      <w:tr w:rsidR="004F1919"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New Zealand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India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19.95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16.44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4F1919">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11.35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66.63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4F1919" w:rsidP="00A43B3D">
            <w:pPr>
              <w:spacing w:after="0" w:line="240" w:lineRule="auto"/>
              <w:jc w:val="right"/>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100%</w:t>
            </w:r>
          </w:p>
        </w:tc>
      </w:tr>
    </w:tbl>
    <w:p w:rsidR="00A43B3D" w:rsidRDefault="00A43B3D" w:rsidP="009C1660"/>
    <w:p w:rsidR="00C35592" w:rsidRPr="00EE7AB5" w:rsidRDefault="00C35592" w:rsidP="004F1919">
      <w:pPr>
        <w:pStyle w:val="Heading1"/>
        <w:numPr>
          <w:ilvl w:val="1"/>
          <w:numId w:val="12"/>
        </w:numPr>
        <w:spacing w:line="240" w:lineRule="auto"/>
        <w:ind w:left="1080" w:hanging="750"/>
        <w:rPr>
          <w:sz w:val="36"/>
          <w:szCs w:val="36"/>
        </w:rPr>
      </w:pPr>
      <w:r w:rsidRPr="00EE7AB5">
        <w:rPr>
          <w:sz w:val="36"/>
          <w:szCs w:val="36"/>
        </w:rPr>
        <w:t>Science &amp; Partnership Advisory Committee</w:t>
      </w:r>
    </w:p>
    <w:p w:rsidR="00C35592" w:rsidRDefault="00C35592" w:rsidP="00C35592">
      <w:r>
        <w:t xml:space="preserve">The </w:t>
      </w:r>
      <w:r w:rsidR="00FD16CA">
        <w:t>SPAC held its final meeting in December during which they had progress reporting sessions with flagship teams and a joint session with the CRP management committee. Their report, which is generally positive, constructive and demonstrates an improved understanding of the program, is attached.</w:t>
      </w:r>
    </w:p>
    <w:p w:rsidR="004F1919" w:rsidRPr="00EE7AB5" w:rsidRDefault="004F1919" w:rsidP="004F1919">
      <w:pPr>
        <w:pStyle w:val="Heading1"/>
        <w:numPr>
          <w:ilvl w:val="1"/>
          <w:numId w:val="12"/>
        </w:numPr>
        <w:spacing w:line="240" w:lineRule="auto"/>
        <w:ind w:left="1080" w:hanging="750"/>
        <w:rPr>
          <w:sz w:val="36"/>
          <w:szCs w:val="36"/>
        </w:rPr>
      </w:pPr>
      <w:r w:rsidRPr="00EE7AB5">
        <w:rPr>
          <w:sz w:val="36"/>
          <w:szCs w:val="36"/>
        </w:rPr>
        <w:t>2016 Performance Monitoring Report</w:t>
      </w:r>
    </w:p>
    <w:p w:rsidR="004F1919" w:rsidRDefault="004F1919" w:rsidP="00E220EF">
      <w:r>
        <w:t>The 2016 report will have been circulated for Board review and submitted to the System Management Office on April 1</w:t>
      </w:r>
      <w:r w:rsidR="00E220EF">
        <w:t>8</w:t>
      </w:r>
      <w:r w:rsidRPr="004F1919">
        <w:rPr>
          <w:vertAlign w:val="superscript"/>
        </w:rPr>
        <w:t>th</w:t>
      </w:r>
      <w:r w:rsidR="00E220EF">
        <w:t xml:space="preserve">. </w:t>
      </w:r>
    </w:p>
    <w:p w:rsidR="003C74E4" w:rsidRPr="00EE7AB5" w:rsidRDefault="003C74E4" w:rsidP="003C74E4">
      <w:pPr>
        <w:pStyle w:val="Heading1"/>
        <w:numPr>
          <w:ilvl w:val="1"/>
          <w:numId w:val="12"/>
        </w:numPr>
        <w:spacing w:line="240" w:lineRule="auto"/>
        <w:ind w:left="1170" w:hanging="840"/>
        <w:rPr>
          <w:sz w:val="36"/>
          <w:szCs w:val="36"/>
        </w:rPr>
      </w:pPr>
      <w:r w:rsidRPr="00EE7AB5">
        <w:rPr>
          <w:sz w:val="36"/>
          <w:szCs w:val="36"/>
        </w:rPr>
        <w:t>Self-evaluation</w:t>
      </w:r>
    </w:p>
    <w:p w:rsidR="00F72DC5" w:rsidRDefault="00F72DC5" w:rsidP="00F72DC5">
      <w:r>
        <w:t xml:space="preserve">The CRP Management Committee also held its final meeting in December. One session was devoted to a self-evaluation of the program, identifying what worked and what didn’t, first from a programmatic perspective and secondly in terms of management and governance. In many instances, the points raised echoed those already highlighted in the external evaluations, notably with respect to achieving momentum in the target value chains and </w:t>
      </w:r>
      <w:r>
        <w:lastRenderedPageBreak/>
        <w:t>linking the work there to the research agendas in the other flagships. The CRP’s partnersh</w:t>
      </w:r>
      <w:r w:rsidR="00852963">
        <w:t xml:space="preserve">ip model was considered healthy and ILRI’s communications support to the CRP, including meeting facilitation and producing a steady stream of blogposts, was highlighted as exemplary by the partners. </w:t>
      </w:r>
    </w:p>
    <w:p w:rsidR="00522F01" w:rsidRDefault="00522F01" w:rsidP="00522F01">
      <w:pPr>
        <w:pStyle w:val="Heading1"/>
        <w:numPr>
          <w:ilvl w:val="0"/>
          <w:numId w:val="12"/>
        </w:numPr>
        <w:spacing w:line="240" w:lineRule="auto"/>
      </w:pPr>
      <w:r>
        <w:t>Rehabilitation of the unfunded flagships</w:t>
      </w:r>
    </w:p>
    <w:p w:rsidR="00F72DC5" w:rsidRDefault="00ED7289" w:rsidP="00F72DC5">
      <w:r>
        <w:t xml:space="preserve">In November 2016, the </w:t>
      </w:r>
      <w:r w:rsidR="00C41462">
        <w:t>System</w:t>
      </w:r>
      <w:r>
        <w:t xml:space="preserve"> Council approved the Livestock CRP, but did not approve W1/2 funding for two of its flagships: Feeds &amp; Forages and Livestock Livelihoods &amp; Agri-Food Systems. </w:t>
      </w:r>
      <w:r w:rsidR="007162E7">
        <w:t xml:space="preserve">The exact process for re-submission of revised flagship proposals to allow them to receive W1/2 funding has not yet been formalized, but </w:t>
      </w:r>
      <w:r w:rsidR="004F58A8">
        <w:t xml:space="preserve">it </w:t>
      </w:r>
      <w:r w:rsidR="007162E7">
        <w:t xml:space="preserve">seems we will be allowed to submit them in late May for review by the ISPC in June. </w:t>
      </w:r>
      <w:r w:rsidR="00C41462">
        <w:t>This will allow enough time to address any final concerns before the System Management Board and System Council meetings later in the year. The revision process is currently ongoing. Following ISPC advice, we are carefully reviewing their earlier comments, and ISPC appears to be willing to clarify our understanding of their comments, if needed.</w:t>
      </w:r>
    </w:p>
    <w:p w:rsidR="00C41462" w:rsidRDefault="00C41462" w:rsidP="00F72DC5">
      <w:r>
        <w:t>Eventual approval of the two revised flagships may not, however, translate into increased funding given that current funding is already fully allocated, and there is no indication yet of whether re-allocation of existing funding will be considered and if so, how. This means there may be continued uncertainty about funding we can expect for the CRP in 2018.</w:t>
      </w:r>
    </w:p>
    <w:p w:rsidR="00D873C0" w:rsidRDefault="00D873C0" w:rsidP="003C74E4">
      <w:pPr>
        <w:pStyle w:val="Heading1"/>
        <w:numPr>
          <w:ilvl w:val="0"/>
          <w:numId w:val="12"/>
        </w:numPr>
        <w:spacing w:line="240" w:lineRule="auto"/>
      </w:pPr>
      <w:r>
        <w:t xml:space="preserve">Plan of Work &amp; Budget </w:t>
      </w:r>
      <w:r w:rsidR="00A67E0D">
        <w:t>2017</w:t>
      </w:r>
    </w:p>
    <w:p w:rsidR="00461757" w:rsidRDefault="00461757" w:rsidP="00A67E0D">
      <w:r>
        <w:t>Preparing the</w:t>
      </w:r>
      <w:r w:rsidR="005431F3">
        <w:t xml:space="preserve"> CRP Plan of Work &amp; Budget </w:t>
      </w:r>
      <w:r>
        <w:t xml:space="preserve">(POWB) </w:t>
      </w:r>
      <w:r w:rsidR="005431F3">
        <w:t>for 2017 was</w:t>
      </w:r>
      <w:r>
        <w:t xml:space="preserve"> challenging given the System Council decision to not provide W1/2 funding to two </w:t>
      </w:r>
      <w:r w:rsidR="004F58A8">
        <w:t>of the flagships</w:t>
      </w:r>
      <w:r w:rsidR="005431F3">
        <w:t xml:space="preserve"> </w:t>
      </w:r>
      <w:r>
        <w:t xml:space="preserve">with a pro rata cut to the management budget. The POWB was </w:t>
      </w:r>
      <w:r w:rsidR="005431F3">
        <w:t>submitted on February 15</w:t>
      </w:r>
      <w:r w:rsidR="005431F3" w:rsidRPr="005431F3">
        <w:rPr>
          <w:vertAlign w:val="superscript"/>
        </w:rPr>
        <w:t>th</w:t>
      </w:r>
      <w:r w:rsidR="005431F3">
        <w:t>. Feedback was provided by the System Management Office indicat</w:t>
      </w:r>
      <w:r>
        <w:t>ing</w:t>
      </w:r>
      <w:r w:rsidR="005431F3">
        <w:t xml:space="preserve"> where </w:t>
      </w:r>
      <w:r w:rsidR="00852963">
        <w:t xml:space="preserve">the Livestock CRP management </w:t>
      </w:r>
      <w:r w:rsidR="005431F3">
        <w:t>need</w:t>
      </w:r>
      <w:r w:rsidR="00852963">
        <w:t>s</w:t>
      </w:r>
      <w:r w:rsidR="005431F3">
        <w:t xml:space="preserve"> to continue to improve</w:t>
      </w:r>
      <w:r w:rsidR="00852963">
        <w:t xml:space="preserve"> the POWB presentation</w:t>
      </w:r>
      <w:r w:rsidR="005431F3">
        <w:t>, particularly with respect to formulating the various elements of the Performance Management Framework (outputs, outcomes, milestones, targets) and the narrative</w:t>
      </w:r>
      <w:r>
        <w:t xml:space="preserve"> so</w:t>
      </w:r>
      <w:r w:rsidR="005431F3">
        <w:t xml:space="preserve"> that</w:t>
      </w:r>
      <w:r>
        <w:t xml:space="preserve"> they are</w:t>
      </w:r>
      <w:r w:rsidR="005431F3">
        <w:t xml:space="preserve"> both inte</w:t>
      </w:r>
      <w:r>
        <w:t>rnally consistent and harmonized</w:t>
      </w:r>
      <w:r w:rsidR="005431F3">
        <w:t xml:space="preserve"> across the CRPs. The total budget is </w:t>
      </w:r>
      <w:r w:rsidR="007313E5">
        <w:t>nearly</w:t>
      </w:r>
      <w:r w:rsidR="005431F3">
        <w:t xml:space="preserve"> </w:t>
      </w:r>
      <w:r w:rsidR="007313E5">
        <w:t>2</w:t>
      </w:r>
      <w:r w:rsidR="005431F3">
        <w:t xml:space="preserve">0% higher than in the proposal: the cut in </w:t>
      </w:r>
      <w:r>
        <w:t xml:space="preserve">W1/2 funding for the two flagships and management was offset by a number of new W3/bilateral funded projects (Table 3). </w:t>
      </w:r>
    </w:p>
    <w:p w:rsidR="007313E5" w:rsidRPr="007313E5" w:rsidRDefault="007313E5" w:rsidP="00A67E0D">
      <w:pPr>
        <w:rPr>
          <w:b/>
        </w:rPr>
      </w:pPr>
      <w:r w:rsidRPr="007313E5">
        <w:rPr>
          <w:b/>
        </w:rPr>
        <w:t>Table 3. Livestock CRP 2017 budget: original proposal version versus POWB, by source (million USD)</w:t>
      </w:r>
    </w:p>
    <w:tbl>
      <w:tblPr>
        <w:tblStyle w:val="TableGrid"/>
        <w:tblW w:w="0" w:type="auto"/>
        <w:tblLook w:val="04A0" w:firstRow="1" w:lastRow="0" w:firstColumn="1" w:lastColumn="0" w:noHBand="0" w:noVBand="1"/>
      </w:tblPr>
      <w:tblGrid>
        <w:gridCol w:w="3055"/>
        <w:gridCol w:w="1710"/>
        <w:gridCol w:w="1710"/>
        <w:gridCol w:w="1822"/>
      </w:tblGrid>
      <w:tr w:rsidR="00461757" w:rsidTr="007313E5">
        <w:tc>
          <w:tcPr>
            <w:tcW w:w="3055" w:type="dxa"/>
            <w:shd w:val="clear" w:color="auto" w:fill="DFDFDF" w:themeFill="background2" w:themeFillShade="E6"/>
          </w:tcPr>
          <w:p w:rsidR="00461757" w:rsidRDefault="00461757" w:rsidP="00D873C0"/>
        </w:tc>
        <w:tc>
          <w:tcPr>
            <w:tcW w:w="1710" w:type="dxa"/>
            <w:shd w:val="clear" w:color="auto" w:fill="DFDFDF" w:themeFill="background2" w:themeFillShade="E6"/>
          </w:tcPr>
          <w:p w:rsidR="00461757" w:rsidRDefault="00461757" w:rsidP="007313E5">
            <w:pPr>
              <w:jc w:val="center"/>
            </w:pPr>
            <w:r>
              <w:t>W1/2</w:t>
            </w:r>
          </w:p>
        </w:tc>
        <w:tc>
          <w:tcPr>
            <w:tcW w:w="1710" w:type="dxa"/>
            <w:shd w:val="clear" w:color="auto" w:fill="DFDFDF" w:themeFill="background2" w:themeFillShade="E6"/>
          </w:tcPr>
          <w:p w:rsidR="00461757" w:rsidRDefault="00461757" w:rsidP="007313E5">
            <w:pPr>
              <w:jc w:val="center"/>
            </w:pPr>
            <w:r>
              <w:t>W3/Bilateral</w:t>
            </w:r>
          </w:p>
        </w:tc>
        <w:tc>
          <w:tcPr>
            <w:tcW w:w="1822" w:type="dxa"/>
            <w:shd w:val="clear" w:color="auto" w:fill="DFDFDF" w:themeFill="background2" w:themeFillShade="E6"/>
          </w:tcPr>
          <w:p w:rsidR="00461757" w:rsidRDefault="007313E5" w:rsidP="007313E5">
            <w:pPr>
              <w:jc w:val="center"/>
            </w:pPr>
            <w:r>
              <w:t>TOTAL</w:t>
            </w:r>
          </w:p>
        </w:tc>
      </w:tr>
      <w:tr w:rsidR="00461757" w:rsidTr="007313E5">
        <w:tc>
          <w:tcPr>
            <w:tcW w:w="3055" w:type="dxa"/>
          </w:tcPr>
          <w:p w:rsidR="00461757" w:rsidRDefault="00461757" w:rsidP="007313E5">
            <w:r>
              <w:t>CRP Proposal</w:t>
            </w:r>
            <w:r w:rsidR="007313E5">
              <w:t xml:space="preserve"> (July 2016)</w:t>
            </w:r>
          </w:p>
        </w:tc>
        <w:tc>
          <w:tcPr>
            <w:tcW w:w="1710" w:type="dxa"/>
          </w:tcPr>
          <w:p w:rsidR="00461757" w:rsidRDefault="00461757" w:rsidP="007313E5">
            <w:pPr>
              <w:jc w:val="center"/>
            </w:pPr>
            <w:r>
              <w:t>20.2</w:t>
            </w:r>
          </w:p>
        </w:tc>
        <w:tc>
          <w:tcPr>
            <w:tcW w:w="1710" w:type="dxa"/>
          </w:tcPr>
          <w:p w:rsidR="00461757" w:rsidRDefault="007313E5" w:rsidP="007313E5">
            <w:pPr>
              <w:jc w:val="center"/>
            </w:pPr>
            <w:r>
              <w:t>23.3</w:t>
            </w:r>
          </w:p>
        </w:tc>
        <w:tc>
          <w:tcPr>
            <w:tcW w:w="1822" w:type="dxa"/>
          </w:tcPr>
          <w:p w:rsidR="00461757" w:rsidRDefault="007313E5" w:rsidP="007313E5">
            <w:pPr>
              <w:jc w:val="center"/>
            </w:pPr>
            <w:r>
              <w:t>43.5</w:t>
            </w:r>
          </w:p>
        </w:tc>
      </w:tr>
      <w:tr w:rsidR="00461757" w:rsidTr="007313E5">
        <w:tc>
          <w:tcPr>
            <w:tcW w:w="3055" w:type="dxa"/>
          </w:tcPr>
          <w:p w:rsidR="00461757" w:rsidRDefault="00461757" w:rsidP="00D873C0">
            <w:r>
              <w:t>POWB</w:t>
            </w:r>
            <w:r w:rsidR="007313E5">
              <w:t xml:space="preserve"> (March 2017)</w:t>
            </w:r>
          </w:p>
        </w:tc>
        <w:tc>
          <w:tcPr>
            <w:tcW w:w="1710" w:type="dxa"/>
          </w:tcPr>
          <w:p w:rsidR="00461757" w:rsidRDefault="00461757" w:rsidP="007313E5">
            <w:pPr>
              <w:jc w:val="center"/>
            </w:pPr>
            <w:r>
              <w:t>14.0</w:t>
            </w:r>
          </w:p>
        </w:tc>
        <w:tc>
          <w:tcPr>
            <w:tcW w:w="1710" w:type="dxa"/>
          </w:tcPr>
          <w:p w:rsidR="00461757" w:rsidRDefault="007313E5" w:rsidP="007313E5">
            <w:pPr>
              <w:jc w:val="center"/>
            </w:pPr>
            <w:r>
              <w:t>37.6</w:t>
            </w:r>
          </w:p>
        </w:tc>
        <w:tc>
          <w:tcPr>
            <w:tcW w:w="1822" w:type="dxa"/>
          </w:tcPr>
          <w:p w:rsidR="00461757" w:rsidRDefault="007313E5" w:rsidP="007313E5">
            <w:pPr>
              <w:jc w:val="center"/>
            </w:pPr>
            <w:r>
              <w:t>51.6</w:t>
            </w:r>
          </w:p>
        </w:tc>
      </w:tr>
      <w:tr w:rsidR="00461757" w:rsidTr="007313E5">
        <w:tc>
          <w:tcPr>
            <w:tcW w:w="3055" w:type="dxa"/>
          </w:tcPr>
          <w:p w:rsidR="00461757" w:rsidRDefault="007313E5" w:rsidP="00D873C0">
            <w:r>
              <w:t>% Change</w:t>
            </w:r>
          </w:p>
        </w:tc>
        <w:tc>
          <w:tcPr>
            <w:tcW w:w="1710" w:type="dxa"/>
          </w:tcPr>
          <w:p w:rsidR="00461757" w:rsidRDefault="007313E5" w:rsidP="007313E5">
            <w:pPr>
              <w:jc w:val="center"/>
            </w:pPr>
            <w:r>
              <w:t>-31%</w:t>
            </w:r>
          </w:p>
        </w:tc>
        <w:tc>
          <w:tcPr>
            <w:tcW w:w="1710" w:type="dxa"/>
          </w:tcPr>
          <w:p w:rsidR="00461757" w:rsidRDefault="007313E5" w:rsidP="007313E5">
            <w:pPr>
              <w:jc w:val="center"/>
            </w:pPr>
            <w:r>
              <w:t>+61%</w:t>
            </w:r>
          </w:p>
        </w:tc>
        <w:tc>
          <w:tcPr>
            <w:tcW w:w="1822" w:type="dxa"/>
          </w:tcPr>
          <w:p w:rsidR="00461757" w:rsidRDefault="007313E5" w:rsidP="007313E5">
            <w:pPr>
              <w:jc w:val="center"/>
            </w:pPr>
            <w:r>
              <w:t>+19%</w:t>
            </w:r>
          </w:p>
        </w:tc>
      </w:tr>
    </w:tbl>
    <w:p w:rsidR="00852963" w:rsidRDefault="00852963" w:rsidP="00852963"/>
    <w:p w:rsidR="00852963" w:rsidRDefault="00F14BE6" w:rsidP="00852963">
      <w:r>
        <w:t xml:space="preserve">It is important to note, however, that the increased bilateral project funding does address the funding gap for the two flagships </w:t>
      </w:r>
      <w:r w:rsidR="00B02435">
        <w:t>that are not eligible for</w:t>
      </w:r>
      <w:r>
        <w:t xml:space="preserve"> W1/2. Specific efforts were made to secure gap funding. Germany responded with $0.5m to support forage breeding </w:t>
      </w:r>
      <w:r>
        <w:lastRenderedPageBreak/>
        <w:t>work, mainly at CIAT</w:t>
      </w:r>
      <w:r w:rsidR="00B02435">
        <w:t>,</w:t>
      </w:r>
      <w:r>
        <w:t xml:space="preserve"> that </w:t>
      </w:r>
      <w:r w:rsidR="00B02435">
        <w:t xml:space="preserve">has </w:t>
      </w:r>
      <w:r>
        <w:t xml:space="preserve">relied on W1/2 funds. Additional project proposals have been fast-tracked </w:t>
      </w:r>
    </w:p>
    <w:p w:rsidR="009C1660" w:rsidRDefault="009C1660" w:rsidP="004F1919">
      <w:pPr>
        <w:pStyle w:val="Heading1"/>
        <w:numPr>
          <w:ilvl w:val="0"/>
          <w:numId w:val="12"/>
        </w:numPr>
        <w:spacing w:line="240" w:lineRule="auto"/>
      </w:pPr>
      <w:r>
        <w:t>Financial outlook</w:t>
      </w:r>
    </w:p>
    <w:p w:rsidR="009C1660" w:rsidRDefault="008E17A7" w:rsidP="009C1660">
      <w:r>
        <w:t>There is reasonable confidence that the amount of W1/2 funding from donor commitments for 2017 (based on soft pledging at the last System Council meeting) will match the total budget proposed. However, there is the risk that some CRPs will be oversubscribed in W2 funds and others significantly undersubscribed, and this is currently the subject of discussion at the System level</w:t>
      </w:r>
      <w:r w:rsidR="009A4E9A">
        <w:t xml:space="preserve"> as to the appropriate approach to manage this risk in allocating the W1 funds and to improve the reliability and stability of CRP funding. </w:t>
      </w:r>
      <w:r w:rsidR="00852963">
        <w:t>Livestock CRP and ILRI</w:t>
      </w:r>
      <w:r w:rsidR="009A4E9A">
        <w:t xml:space="preserve"> </w:t>
      </w:r>
      <w:r w:rsidR="00852963">
        <w:t xml:space="preserve">management </w:t>
      </w:r>
      <w:r w:rsidR="009A4E9A">
        <w:t>currently ha</w:t>
      </w:r>
      <w:r w:rsidR="00852963">
        <w:t>ve</w:t>
      </w:r>
      <w:r w:rsidR="009A4E9A">
        <w:t xml:space="preserve"> little intelligence on donor W2 plans beyond vague assurances from a few donors; the donors are also facing pressures and uncertainty from their own constituencies. The CRP is operating assuming the projected $14.0m W1/2 budget will be funded.</w:t>
      </w:r>
    </w:p>
    <w:p w:rsidR="009C1660" w:rsidRDefault="009C1660" w:rsidP="004F1919">
      <w:pPr>
        <w:pStyle w:val="Heading1"/>
        <w:numPr>
          <w:ilvl w:val="0"/>
          <w:numId w:val="12"/>
        </w:numPr>
        <w:spacing w:line="240" w:lineRule="auto"/>
      </w:pPr>
      <w:r>
        <w:t xml:space="preserve"> </w:t>
      </w:r>
      <w:r w:rsidR="00D873C0">
        <w:t>Independent Steering</w:t>
      </w:r>
      <w:r>
        <w:t xml:space="preserve"> Committee</w:t>
      </w:r>
    </w:p>
    <w:p w:rsidR="009C1660" w:rsidRDefault="006B25AA" w:rsidP="009C1660">
      <w:r>
        <w:t>A candidate list has been established for members of the Independent Steering Committee (ISC) of the CRP, but the committee has not yet been constituted. There has been continued debate as to whether the ISC is to have an executive function, as was required in the CRP proposal guidance, or to be primarily advisory as many of the CRPs do in practice</w:t>
      </w:r>
      <w:r w:rsidR="00553AA7">
        <w:t xml:space="preserve"> (cfr. Programme Committee matters arising from the 46</w:t>
      </w:r>
      <w:r w:rsidR="00553AA7" w:rsidRPr="00553AA7">
        <w:rPr>
          <w:vertAlign w:val="superscript"/>
        </w:rPr>
        <w:t>th</w:t>
      </w:r>
      <w:r w:rsidR="00553AA7">
        <w:t xml:space="preserve"> Board meeting)</w:t>
      </w:r>
      <w:r>
        <w:t xml:space="preserve">, and the System Management Board has now agreed to do a ‘stock-take’ of CRP governance – and especially the role of the ISCs – in light of the reform and restructuring of the System in 2016. The outcome will have important implications for the appropriate profiles of ISC members. At the same time, the number of ISC meetings has been reduced from two to one in 2017 to accommodate the W1/2 budget cut, so there has been less pressure to have the ISC immediately in place. </w:t>
      </w:r>
      <w:r w:rsidR="006568B2">
        <w:t>Their inaugural meeting will be held in August-September to provide feedback on work planning for 2018. This list of candidates under consideration</w:t>
      </w:r>
      <w:r w:rsidR="00B02435">
        <w:t xml:space="preserve"> includes those provided from the Board’s own list as recommended at the last Board meeting. The final list will be recomm</w:t>
      </w:r>
      <w:r w:rsidR="00FE0985">
        <w:t>ended to the Board for approval by the end of May.</w:t>
      </w:r>
    </w:p>
    <w:p w:rsidR="006568B2" w:rsidRDefault="009C1660" w:rsidP="004F1919">
      <w:pPr>
        <w:pStyle w:val="Heading1"/>
        <w:numPr>
          <w:ilvl w:val="0"/>
          <w:numId w:val="12"/>
        </w:numPr>
        <w:spacing w:line="240" w:lineRule="auto"/>
      </w:pPr>
      <w:r>
        <w:t xml:space="preserve"> </w:t>
      </w:r>
      <w:r w:rsidR="006568B2">
        <w:t>Partnership</w:t>
      </w:r>
    </w:p>
    <w:p w:rsidR="00F62085" w:rsidRDefault="007A5D0B" w:rsidP="00F62085">
      <w:r>
        <w:t>The Livestock CRP now includes two non-CGIAR implementing partners</w:t>
      </w:r>
      <w:r w:rsidR="00B02435">
        <w:t xml:space="preserve">, the Swedish University of Agricultural Sciences (SLU) and GIZ, and </w:t>
      </w:r>
      <w:r>
        <w:t xml:space="preserve">attention is being given to defining the modalities </w:t>
      </w:r>
      <w:r w:rsidR="00355397">
        <w:t>to enable</w:t>
      </w:r>
      <w:r>
        <w:t xml:space="preserve"> their</w:t>
      </w:r>
      <w:r w:rsidR="00355397">
        <w:t xml:space="preserve"> full</w:t>
      </w:r>
      <w:r>
        <w:t xml:space="preserve"> participation. </w:t>
      </w:r>
      <w:r w:rsidR="00FE0985">
        <w:t>Academic partners of CRPs have found the CGIAR funding arrangements difficult to accommodate, and we are exploring strategies to address this challenge.</w:t>
      </w:r>
    </w:p>
    <w:p w:rsidR="009C1660" w:rsidRDefault="00F62085" w:rsidP="004F1919">
      <w:pPr>
        <w:pStyle w:val="Heading1"/>
        <w:numPr>
          <w:ilvl w:val="0"/>
          <w:numId w:val="12"/>
        </w:numPr>
        <w:spacing w:line="240" w:lineRule="auto"/>
      </w:pPr>
      <w:r>
        <w:t>Monitoring &amp; Evaluation</w:t>
      </w:r>
    </w:p>
    <w:p w:rsidR="00D46B5A" w:rsidRDefault="00EE7AB5" w:rsidP="003A2003">
      <w:r>
        <w:t>Progress has been made in responding to the recommendations from the Independent External Evaluation (IEE) of the L</w:t>
      </w:r>
      <w:r w:rsidR="00F542F3">
        <w:t xml:space="preserve">ivestock </w:t>
      </w:r>
      <w:r>
        <w:t>&amp;</w:t>
      </w:r>
      <w:r w:rsidR="00F542F3">
        <w:t xml:space="preserve"> </w:t>
      </w:r>
      <w:r>
        <w:t>F</w:t>
      </w:r>
      <w:r w:rsidR="00F542F3">
        <w:t>ish</w:t>
      </w:r>
      <w:r>
        <w:t xml:space="preserve"> CRP to strengthen the CRP research management and monitoring &amp; evaluation (M&amp;E) systems. </w:t>
      </w:r>
      <w:r w:rsidR="00D46B5A">
        <w:t xml:space="preserve">As reported at the last meeting, the </w:t>
      </w:r>
      <w:r>
        <w:t>L</w:t>
      </w:r>
      <w:r w:rsidR="00F542F3">
        <w:t xml:space="preserve">ivestock &amp; Fish </w:t>
      </w:r>
      <w:r>
        <w:t>CRP joined an initiative with four other CRPs led by CIAT</w:t>
      </w:r>
      <w:r w:rsidR="00D46B5A">
        <w:t xml:space="preserve"> – which has now expanded to eight CRPs – to </w:t>
      </w:r>
      <w:r>
        <w:t xml:space="preserve">develop a second generation version of their online CRP planning and reporting program called MARLO (Managing Agricultural Research for Learning and Outcomes). </w:t>
      </w:r>
      <w:r w:rsidR="00D46B5A">
        <w:t xml:space="preserve">The planning module is now ready for use by the Livestock CRP and is being rolled out this coming month. </w:t>
      </w:r>
    </w:p>
    <w:p w:rsidR="00F542F3" w:rsidRDefault="00D46B5A" w:rsidP="003A2003">
      <w:r>
        <w:t>Following up the item from the Programme Committee matters arising from the last Board meeting on the CRP financial report system under developm</w:t>
      </w:r>
      <w:r w:rsidR="00FE0985">
        <w:t>ent, the CRP engaged with the O</w:t>
      </w:r>
      <w:r>
        <w:t>C</w:t>
      </w:r>
      <w:r w:rsidR="00FE0985">
        <w:t>S</w:t>
      </w:r>
      <w:r>
        <w:t xml:space="preserve"> developers at both ILRI and System level. The project to develop a CRP financial aggregation platform to enable reporting real-time CRP budget and expenditure information has been reformulated as a two-ste</w:t>
      </w:r>
      <w:r w:rsidR="00FE0985">
        <w:t>p project and described in an O</w:t>
      </w:r>
      <w:r>
        <w:t>C</w:t>
      </w:r>
      <w:r w:rsidR="00FE0985">
        <w:t>S</w:t>
      </w:r>
      <w:r>
        <w:t xml:space="preserve"> System Design Document. The project is underway.</w:t>
      </w:r>
    </w:p>
    <w:p w:rsidR="00EE7AB5" w:rsidRDefault="00355397" w:rsidP="003A2003">
      <w:r>
        <w:t>A Performance and Partnership Manager position has been created for rolling out the M&amp;E system that was developed over the final year of the Livestock &amp; Fish CRP. The position will also be responsible for strengthening the focus country teams</w:t>
      </w:r>
      <w:r w:rsidR="008017E7">
        <w:t xml:space="preserve"> and coordinating the CRP engagement in the CGIAR Country Collaboration initiative.</w:t>
      </w:r>
      <w:r>
        <w:t xml:space="preserve"> This is important since it is anticipated that much of </w:t>
      </w:r>
      <w:r w:rsidR="008017E7">
        <w:t>the</w:t>
      </w:r>
      <w:r>
        <w:t xml:space="preserve"> M&amp;E will be in the focus countries implemented by the cou</w:t>
      </w:r>
      <w:r w:rsidR="008017E7">
        <w:t>ntry teams and may be expected to also contribute to or integrate within CGIAR Country Collaboration efforts.</w:t>
      </w:r>
    </w:p>
    <w:p w:rsidR="00E220EF" w:rsidRDefault="00E220EF" w:rsidP="003A2003">
      <w:pPr>
        <w:sectPr w:rsidR="00E220EF" w:rsidSect="00D873C0">
          <w:footerReference w:type="default" r:id="rId20"/>
          <w:headerReference w:type="first" r:id="rId21"/>
          <w:footerReference w:type="first" r:id="rId22"/>
          <w:pgSz w:w="11907" w:h="16839" w:code="9"/>
          <w:pgMar w:top="1440" w:right="1800" w:bottom="1440" w:left="1800" w:header="720" w:footer="432" w:gutter="0"/>
          <w:pgNumType w:start="1"/>
          <w:cols w:space="720"/>
          <w:titlePg/>
          <w:docGrid w:linePitch="360"/>
        </w:sectPr>
      </w:pPr>
    </w:p>
    <w:p w:rsidR="00E220EF" w:rsidRDefault="00E220EF" w:rsidP="00E220EF">
      <w:pPr>
        <w:rPr>
          <w:b/>
          <w:sz w:val="24"/>
          <w:szCs w:val="24"/>
        </w:rPr>
      </w:pPr>
      <w:r>
        <w:rPr>
          <w:b/>
          <w:sz w:val="24"/>
          <w:szCs w:val="24"/>
        </w:rPr>
        <w:t>ANNEX: Final report of the L&amp;F CRP Science &amp; Partnership Advisory Committee</w:t>
      </w:r>
    </w:p>
    <w:p w:rsidR="00E220EF" w:rsidRDefault="00E220EF" w:rsidP="00E220EF">
      <w:pPr>
        <w:jc w:val="center"/>
        <w:rPr>
          <w:b/>
          <w:sz w:val="24"/>
          <w:szCs w:val="24"/>
        </w:rPr>
      </w:pPr>
    </w:p>
    <w:p w:rsidR="00E220EF" w:rsidRPr="008124F9" w:rsidRDefault="00E220EF" w:rsidP="00E220EF">
      <w:pPr>
        <w:jc w:val="center"/>
        <w:rPr>
          <w:b/>
          <w:sz w:val="24"/>
          <w:szCs w:val="24"/>
        </w:rPr>
      </w:pPr>
      <w:r w:rsidRPr="008124F9">
        <w:rPr>
          <w:b/>
          <w:sz w:val="24"/>
          <w:szCs w:val="24"/>
        </w:rPr>
        <w:t>Report from the SPAC meeting</w:t>
      </w:r>
    </w:p>
    <w:p w:rsidR="00E220EF" w:rsidRPr="00A60B74" w:rsidRDefault="00E220EF" w:rsidP="00E220EF">
      <w:pPr>
        <w:jc w:val="center"/>
        <w:rPr>
          <w:rFonts w:ascii="Times New Roman" w:hAnsi="Times New Roman" w:cs="Times New Roman"/>
          <w:b/>
          <w:sz w:val="24"/>
          <w:szCs w:val="24"/>
        </w:rPr>
      </w:pPr>
      <w:r w:rsidRPr="00A60B74">
        <w:rPr>
          <w:rFonts w:ascii="Times New Roman" w:hAnsi="Times New Roman" w:cs="Times New Roman"/>
          <w:b/>
          <w:sz w:val="24"/>
          <w:szCs w:val="24"/>
        </w:rPr>
        <w:t xml:space="preserve">December </w:t>
      </w:r>
      <w:r>
        <w:rPr>
          <w:rFonts w:ascii="Times New Roman" w:hAnsi="Times New Roman" w:cs="Times New Roman"/>
          <w:b/>
          <w:sz w:val="24"/>
          <w:szCs w:val="24"/>
        </w:rPr>
        <w:t>6</w:t>
      </w:r>
      <w:r w:rsidRPr="00A60B74">
        <w:rPr>
          <w:rFonts w:ascii="Times New Roman" w:hAnsi="Times New Roman" w:cs="Times New Roman"/>
          <w:b/>
          <w:sz w:val="24"/>
          <w:szCs w:val="24"/>
        </w:rPr>
        <w:t>-</w:t>
      </w:r>
      <w:r>
        <w:rPr>
          <w:rFonts w:ascii="Times New Roman" w:hAnsi="Times New Roman" w:cs="Times New Roman"/>
          <w:b/>
          <w:sz w:val="24"/>
          <w:szCs w:val="24"/>
        </w:rPr>
        <w:t>8</w:t>
      </w:r>
      <w:r w:rsidRPr="00A60B74">
        <w:rPr>
          <w:rFonts w:ascii="Times New Roman" w:hAnsi="Times New Roman" w:cs="Times New Roman"/>
          <w:b/>
          <w:sz w:val="24"/>
          <w:szCs w:val="24"/>
        </w:rPr>
        <w:t>, 201</w:t>
      </w:r>
      <w:r>
        <w:rPr>
          <w:rFonts w:ascii="Times New Roman" w:hAnsi="Times New Roman" w:cs="Times New Roman"/>
          <w:b/>
          <w:sz w:val="24"/>
          <w:szCs w:val="24"/>
        </w:rPr>
        <w:t>6</w:t>
      </w:r>
    </w:p>
    <w:p w:rsidR="00E220EF" w:rsidRPr="00A60B74" w:rsidRDefault="00E220EF" w:rsidP="00E220EF">
      <w:pPr>
        <w:jc w:val="center"/>
        <w:rPr>
          <w:rFonts w:ascii="Times New Roman" w:hAnsi="Times New Roman" w:cs="Times New Roman"/>
          <w:sz w:val="24"/>
          <w:szCs w:val="24"/>
        </w:rPr>
      </w:pPr>
    </w:p>
    <w:p w:rsidR="00E220EF" w:rsidRPr="00A60B74" w:rsidRDefault="00E220EF" w:rsidP="00E220EF">
      <w:pPr>
        <w:rPr>
          <w:rFonts w:ascii="Times New Roman" w:hAnsi="Times New Roman" w:cs="Times New Roman"/>
          <w:sz w:val="24"/>
          <w:szCs w:val="24"/>
        </w:rPr>
      </w:pPr>
      <w:r w:rsidRPr="00A60B74">
        <w:rPr>
          <w:rFonts w:ascii="Times New Roman" w:hAnsi="Times New Roman" w:cs="Times New Roman"/>
          <w:b/>
          <w:sz w:val="24"/>
          <w:szCs w:val="24"/>
        </w:rPr>
        <w:t xml:space="preserve">Executive Summary:  </w:t>
      </w:r>
      <w:r w:rsidRPr="00A60B74">
        <w:rPr>
          <w:rFonts w:ascii="Times New Roman" w:hAnsi="Times New Roman" w:cs="Times New Roman"/>
          <w:sz w:val="24"/>
          <w:szCs w:val="24"/>
        </w:rPr>
        <w:t xml:space="preserve">The SPAC conducted its </w:t>
      </w:r>
      <w:r>
        <w:rPr>
          <w:rFonts w:ascii="Times New Roman" w:hAnsi="Times New Roman" w:cs="Times New Roman"/>
          <w:sz w:val="24"/>
          <w:szCs w:val="24"/>
        </w:rPr>
        <w:t xml:space="preserve">last </w:t>
      </w:r>
      <w:r w:rsidRPr="00A60B74">
        <w:rPr>
          <w:rFonts w:ascii="Times New Roman" w:hAnsi="Times New Roman" w:cs="Times New Roman"/>
          <w:sz w:val="24"/>
          <w:szCs w:val="24"/>
        </w:rPr>
        <w:t>meeting to review and advise the CRP3.7 project.</w:t>
      </w:r>
      <w:r w:rsidRPr="00A60B74">
        <w:rPr>
          <w:rFonts w:ascii="Times New Roman" w:hAnsi="Times New Roman" w:cs="Times New Roman"/>
          <w:b/>
          <w:sz w:val="24"/>
          <w:szCs w:val="24"/>
        </w:rPr>
        <w:t xml:space="preserve">  </w:t>
      </w:r>
      <w:r w:rsidRPr="00A60B74">
        <w:rPr>
          <w:rFonts w:ascii="Times New Roman" w:hAnsi="Times New Roman" w:cs="Times New Roman"/>
          <w:sz w:val="24"/>
          <w:szCs w:val="24"/>
        </w:rPr>
        <w:t xml:space="preserve">SPAC members in attendance included Max Rothschild </w:t>
      </w:r>
      <w:r>
        <w:rPr>
          <w:rFonts w:ascii="Times New Roman" w:hAnsi="Times New Roman" w:cs="Times New Roman"/>
          <w:sz w:val="24"/>
          <w:szCs w:val="24"/>
        </w:rPr>
        <w:t>(</w:t>
      </w:r>
      <w:r w:rsidRPr="00A60B74">
        <w:rPr>
          <w:rFonts w:ascii="Times New Roman" w:hAnsi="Times New Roman" w:cs="Times New Roman"/>
          <w:sz w:val="24"/>
          <w:szCs w:val="24"/>
        </w:rPr>
        <w:t>Chair</w:t>
      </w:r>
      <w:r>
        <w:rPr>
          <w:rFonts w:ascii="Times New Roman" w:hAnsi="Times New Roman" w:cs="Times New Roman"/>
          <w:sz w:val="24"/>
          <w:szCs w:val="24"/>
        </w:rPr>
        <w:t>),</w:t>
      </w:r>
      <w:r w:rsidRPr="00A60B74">
        <w:rPr>
          <w:rFonts w:ascii="Times New Roman" w:hAnsi="Times New Roman" w:cs="Times New Roman"/>
          <w:sz w:val="24"/>
          <w:szCs w:val="24"/>
        </w:rPr>
        <w:t xml:space="preserve"> Martin Webber</w:t>
      </w:r>
      <w:r>
        <w:rPr>
          <w:rFonts w:ascii="Times New Roman" w:hAnsi="Times New Roman" w:cs="Times New Roman"/>
          <w:sz w:val="24"/>
          <w:szCs w:val="24"/>
        </w:rPr>
        <w:t>,</w:t>
      </w:r>
      <w:r w:rsidRPr="00A60B74">
        <w:rPr>
          <w:rFonts w:ascii="Times New Roman" w:hAnsi="Times New Roman" w:cs="Times New Roman"/>
          <w:sz w:val="24"/>
          <w:szCs w:val="24"/>
        </w:rPr>
        <w:t xml:space="preserve"> Rohana Subasinghe</w:t>
      </w:r>
      <w:r>
        <w:rPr>
          <w:rFonts w:ascii="Times New Roman" w:hAnsi="Times New Roman" w:cs="Times New Roman"/>
          <w:sz w:val="24"/>
          <w:szCs w:val="24"/>
        </w:rPr>
        <w:t xml:space="preserve"> and </w:t>
      </w:r>
      <w:r w:rsidRPr="00A60B74">
        <w:rPr>
          <w:rFonts w:ascii="Times New Roman" w:hAnsi="Times New Roman" w:cs="Times New Roman"/>
          <w:sz w:val="24"/>
          <w:szCs w:val="24"/>
        </w:rPr>
        <w:t>Maureen Miruka</w:t>
      </w:r>
      <w:r>
        <w:rPr>
          <w:rFonts w:ascii="Times New Roman" w:hAnsi="Times New Roman" w:cs="Times New Roman"/>
          <w:sz w:val="24"/>
          <w:szCs w:val="24"/>
        </w:rPr>
        <w:t xml:space="preserve"> (partial participation) and </w:t>
      </w:r>
      <w:r w:rsidRPr="00A60B74">
        <w:rPr>
          <w:rFonts w:ascii="Times New Roman" w:hAnsi="Times New Roman" w:cs="Times New Roman"/>
          <w:sz w:val="24"/>
          <w:szCs w:val="24"/>
        </w:rPr>
        <w:t>Andy Peters</w:t>
      </w:r>
      <w:r>
        <w:rPr>
          <w:rFonts w:ascii="Times New Roman" w:hAnsi="Times New Roman" w:cs="Times New Roman"/>
          <w:sz w:val="24"/>
          <w:szCs w:val="24"/>
        </w:rPr>
        <w:t xml:space="preserve"> (by internet)</w:t>
      </w:r>
      <w:r w:rsidRPr="00A60B74">
        <w:rPr>
          <w:rFonts w:ascii="Times New Roman" w:hAnsi="Times New Roman" w:cs="Times New Roman"/>
          <w:sz w:val="24"/>
          <w:szCs w:val="24"/>
        </w:rPr>
        <w:t>.  In preparation for the meeting the SPAC received summaries relative to the CRP3.7 activities, research and value chains</w:t>
      </w:r>
      <w:r>
        <w:rPr>
          <w:rFonts w:ascii="Times New Roman" w:hAnsi="Times New Roman" w:cs="Times New Roman"/>
          <w:sz w:val="24"/>
          <w:szCs w:val="24"/>
        </w:rPr>
        <w:t>; and during the meetings, discussed these with CRP leaders</w:t>
      </w:r>
      <w:r w:rsidRPr="00A60B74">
        <w:rPr>
          <w:rFonts w:ascii="Times New Roman" w:hAnsi="Times New Roman" w:cs="Times New Roman"/>
          <w:sz w:val="24"/>
          <w:szCs w:val="24"/>
        </w:rPr>
        <w:t xml:space="preserve">.  The SPAC met for two days reviewing the </w:t>
      </w:r>
      <w:r>
        <w:rPr>
          <w:rFonts w:ascii="Times New Roman" w:hAnsi="Times New Roman" w:cs="Times New Roman"/>
          <w:sz w:val="24"/>
          <w:szCs w:val="24"/>
        </w:rPr>
        <w:t>F</w:t>
      </w:r>
      <w:r w:rsidRPr="00A60B74">
        <w:rPr>
          <w:rFonts w:ascii="Times New Roman" w:hAnsi="Times New Roman" w:cs="Times New Roman"/>
          <w:sz w:val="24"/>
          <w:szCs w:val="24"/>
        </w:rPr>
        <w:t>lagships and value chain activities.  Prior to the official meeting</w:t>
      </w:r>
      <w:r>
        <w:rPr>
          <w:rFonts w:ascii="Times New Roman" w:hAnsi="Times New Roman" w:cs="Times New Roman"/>
          <w:sz w:val="24"/>
          <w:szCs w:val="24"/>
        </w:rPr>
        <w:t>,</w:t>
      </w:r>
      <w:r w:rsidRPr="00A60B74">
        <w:rPr>
          <w:rFonts w:ascii="Times New Roman" w:hAnsi="Times New Roman" w:cs="Times New Roman"/>
          <w:sz w:val="24"/>
          <w:szCs w:val="24"/>
        </w:rPr>
        <w:t xml:space="preserve"> a subset of the SPAC members (Max Rothschild </w:t>
      </w:r>
      <w:r>
        <w:rPr>
          <w:rFonts w:ascii="Times New Roman" w:hAnsi="Times New Roman" w:cs="Times New Roman"/>
          <w:sz w:val="24"/>
          <w:szCs w:val="24"/>
        </w:rPr>
        <w:t>and</w:t>
      </w:r>
      <w:r w:rsidRPr="00A60B74">
        <w:rPr>
          <w:rFonts w:ascii="Times New Roman" w:hAnsi="Times New Roman" w:cs="Times New Roman"/>
          <w:sz w:val="24"/>
          <w:szCs w:val="24"/>
        </w:rPr>
        <w:t xml:space="preserve"> Martin Webber) </w:t>
      </w:r>
      <w:r>
        <w:rPr>
          <w:rFonts w:ascii="Times New Roman" w:hAnsi="Times New Roman" w:cs="Times New Roman"/>
          <w:sz w:val="24"/>
          <w:szCs w:val="24"/>
        </w:rPr>
        <w:t>arrived a day early and met with some of the ILRI leaders.</w:t>
      </w:r>
      <w:r w:rsidRPr="00A60B74">
        <w:rPr>
          <w:rFonts w:ascii="Times New Roman" w:hAnsi="Times New Roman" w:cs="Times New Roman"/>
          <w:sz w:val="24"/>
          <w:szCs w:val="24"/>
        </w:rPr>
        <w:t xml:space="preserve"> </w:t>
      </w:r>
    </w:p>
    <w:p w:rsidR="00E220EF" w:rsidRPr="00A60B74" w:rsidRDefault="00E220EF" w:rsidP="00E220EF">
      <w:pPr>
        <w:rPr>
          <w:rFonts w:ascii="Times New Roman" w:hAnsi="Times New Roman" w:cs="Times New Roman"/>
          <w:sz w:val="24"/>
          <w:szCs w:val="24"/>
        </w:rPr>
      </w:pPr>
      <w:r w:rsidRPr="00A60B74">
        <w:rPr>
          <w:rFonts w:ascii="Times New Roman" w:hAnsi="Times New Roman" w:cs="Times New Roman"/>
          <w:sz w:val="24"/>
          <w:szCs w:val="24"/>
        </w:rPr>
        <w:t>The SPAC continues to express strong support for the concept of this pro</w:t>
      </w:r>
      <w:r>
        <w:rPr>
          <w:rFonts w:ascii="Times New Roman" w:hAnsi="Times New Roman" w:cs="Times New Roman"/>
          <w:sz w:val="24"/>
          <w:szCs w:val="24"/>
        </w:rPr>
        <w:t>gram</w:t>
      </w:r>
      <w:r w:rsidRPr="00A60B74">
        <w:rPr>
          <w:rFonts w:ascii="Times New Roman" w:hAnsi="Times New Roman" w:cs="Times New Roman"/>
          <w:sz w:val="24"/>
          <w:szCs w:val="24"/>
        </w:rPr>
        <w:t xml:space="preserve"> and </w:t>
      </w:r>
      <w:r>
        <w:rPr>
          <w:rFonts w:ascii="Times New Roman" w:hAnsi="Times New Roman" w:cs="Times New Roman"/>
          <w:sz w:val="24"/>
          <w:szCs w:val="24"/>
        </w:rPr>
        <w:t>the progress made, especially in the last 12 months</w:t>
      </w:r>
      <w:r w:rsidRPr="00A60B74">
        <w:rPr>
          <w:rFonts w:ascii="Times New Roman" w:hAnsi="Times New Roman" w:cs="Times New Roman"/>
          <w:sz w:val="24"/>
          <w:szCs w:val="24"/>
        </w:rPr>
        <w:t xml:space="preserve">.  We have visited or interacted to date with four value chains (small ruminant in Ethiopia, dairy in Tanzania, pigs in Uganda and fish in Egypt) and there has been a review of pigs in Vietnam.  The concept of </w:t>
      </w:r>
      <w:r>
        <w:rPr>
          <w:rFonts w:ascii="Times New Roman" w:hAnsi="Times New Roman" w:cs="Times New Roman"/>
          <w:sz w:val="24"/>
          <w:szCs w:val="24"/>
        </w:rPr>
        <w:t>F</w:t>
      </w:r>
      <w:r w:rsidRPr="00A60B74">
        <w:rPr>
          <w:rFonts w:ascii="Times New Roman" w:hAnsi="Times New Roman" w:cs="Times New Roman"/>
          <w:sz w:val="24"/>
          <w:szCs w:val="24"/>
        </w:rPr>
        <w:t xml:space="preserve">lagship research which would have </w:t>
      </w:r>
      <w:r>
        <w:rPr>
          <w:rFonts w:ascii="Times New Roman" w:hAnsi="Times New Roman" w:cs="Times New Roman"/>
          <w:sz w:val="24"/>
          <w:szCs w:val="24"/>
        </w:rPr>
        <w:t xml:space="preserve">specific </w:t>
      </w:r>
      <w:r w:rsidRPr="00A60B74">
        <w:rPr>
          <w:rFonts w:ascii="Times New Roman" w:hAnsi="Times New Roman" w:cs="Times New Roman"/>
          <w:sz w:val="24"/>
          <w:szCs w:val="24"/>
        </w:rPr>
        <w:t xml:space="preserve">impact </w:t>
      </w:r>
      <w:r>
        <w:rPr>
          <w:rFonts w:ascii="Times New Roman" w:hAnsi="Times New Roman" w:cs="Times New Roman"/>
          <w:sz w:val="24"/>
          <w:szCs w:val="24"/>
        </w:rPr>
        <w:t>on</w:t>
      </w:r>
      <w:r w:rsidRPr="00A60B74">
        <w:rPr>
          <w:rFonts w:ascii="Times New Roman" w:hAnsi="Times New Roman" w:cs="Times New Roman"/>
          <w:sz w:val="24"/>
          <w:szCs w:val="24"/>
        </w:rPr>
        <w:t xml:space="preserve"> the</w:t>
      </w:r>
      <w:r>
        <w:rPr>
          <w:rFonts w:ascii="Times New Roman" w:hAnsi="Times New Roman" w:cs="Times New Roman"/>
          <w:sz w:val="24"/>
          <w:szCs w:val="24"/>
        </w:rPr>
        <w:t>se</w:t>
      </w:r>
      <w:r w:rsidRPr="00A60B74">
        <w:rPr>
          <w:rFonts w:ascii="Times New Roman" w:hAnsi="Times New Roman" w:cs="Times New Roman"/>
          <w:sz w:val="24"/>
          <w:szCs w:val="24"/>
        </w:rPr>
        <w:t xml:space="preserve"> value chains is </w:t>
      </w:r>
      <w:r>
        <w:rPr>
          <w:rFonts w:ascii="Times New Roman" w:hAnsi="Times New Roman" w:cs="Times New Roman"/>
          <w:sz w:val="24"/>
          <w:szCs w:val="24"/>
        </w:rPr>
        <w:t xml:space="preserve">highly valued by the SPAC.  Now at the end of this phase of the CRP, progress in the Flagships and the value chains, </w:t>
      </w:r>
      <w:r w:rsidRPr="00A60B74">
        <w:rPr>
          <w:rFonts w:ascii="Times New Roman" w:hAnsi="Times New Roman" w:cs="Times New Roman"/>
          <w:sz w:val="24"/>
          <w:szCs w:val="24"/>
        </w:rPr>
        <w:t xml:space="preserve">while </w:t>
      </w:r>
      <w:r>
        <w:rPr>
          <w:rFonts w:ascii="Times New Roman" w:hAnsi="Times New Roman" w:cs="Times New Roman"/>
          <w:sz w:val="24"/>
          <w:szCs w:val="24"/>
        </w:rPr>
        <w:t xml:space="preserve">initially </w:t>
      </w:r>
      <w:r w:rsidRPr="00A60B74">
        <w:rPr>
          <w:rFonts w:ascii="Times New Roman" w:hAnsi="Times New Roman" w:cs="Times New Roman"/>
          <w:sz w:val="24"/>
          <w:szCs w:val="24"/>
        </w:rPr>
        <w:t xml:space="preserve">slow in many aspects, </w:t>
      </w:r>
      <w:r>
        <w:rPr>
          <w:rFonts w:ascii="Times New Roman" w:hAnsi="Times New Roman" w:cs="Times New Roman"/>
          <w:sz w:val="24"/>
          <w:szCs w:val="24"/>
        </w:rPr>
        <w:t xml:space="preserve">has at the end of this period been </w:t>
      </w:r>
      <w:r w:rsidRPr="00A60B74">
        <w:rPr>
          <w:rFonts w:ascii="Times New Roman" w:hAnsi="Times New Roman" w:cs="Times New Roman"/>
          <w:sz w:val="24"/>
          <w:szCs w:val="24"/>
        </w:rPr>
        <w:t>more clearly demonstrated</w:t>
      </w:r>
      <w:r>
        <w:rPr>
          <w:rFonts w:ascii="Times New Roman" w:hAnsi="Times New Roman" w:cs="Times New Roman"/>
          <w:sz w:val="24"/>
          <w:szCs w:val="24"/>
        </w:rPr>
        <w:t xml:space="preserve">. The initiation of synthesis events, while not completed, appears to have been very useful and management should be sure to complete these reports. Specific observations </w:t>
      </w:r>
      <w:r w:rsidRPr="00A60B74">
        <w:rPr>
          <w:rFonts w:ascii="Times New Roman" w:hAnsi="Times New Roman" w:cs="Times New Roman"/>
          <w:sz w:val="24"/>
          <w:szCs w:val="24"/>
        </w:rPr>
        <w:t xml:space="preserve">and points of advice </w:t>
      </w:r>
      <w:r>
        <w:rPr>
          <w:rFonts w:ascii="Times New Roman" w:hAnsi="Times New Roman" w:cs="Times New Roman"/>
          <w:sz w:val="24"/>
          <w:szCs w:val="24"/>
        </w:rPr>
        <w:t xml:space="preserve">is provided </w:t>
      </w:r>
      <w:r w:rsidRPr="00A60B74">
        <w:rPr>
          <w:rFonts w:ascii="Times New Roman" w:hAnsi="Times New Roman" w:cs="Times New Roman"/>
          <w:sz w:val="24"/>
          <w:szCs w:val="24"/>
        </w:rPr>
        <w:t xml:space="preserve">at the end of this report. </w:t>
      </w:r>
    </w:p>
    <w:p w:rsidR="00E220EF" w:rsidRPr="006B417A" w:rsidRDefault="00E220EF" w:rsidP="00E220EF">
      <w:pPr>
        <w:spacing w:after="120"/>
        <w:rPr>
          <w:rFonts w:ascii="Times New Roman" w:hAnsi="Times New Roman"/>
          <w:sz w:val="24"/>
          <w:szCs w:val="24"/>
        </w:rPr>
      </w:pPr>
      <w:r w:rsidRPr="006B417A">
        <w:rPr>
          <w:rFonts w:ascii="Times New Roman" w:hAnsi="Times New Roman"/>
          <w:sz w:val="24"/>
          <w:szCs w:val="24"/>
        </w:rPr>
        <w:t xml:space="preserve">The SPAC expresses its very sincere appreciation to Tom Randolph, </w:t>
      </w:r>
      <w:r>
        <w:rPr>
          <w:rFonts w:ascii="Times New Roman" w:hAnsi="Times New Roman"/>
          <w:sz w:val="24"/>
          <w:szCs w:val="24"/>
        </w:rPr>
        <w:t xml:space="preserve">the </w:t>
      </w:r>
      <w:r w:rsidRPr="006B417A">
        <w:rPr>
          <w:rFonts w:ascii="Times New Roman" w:hAnsi="Times New Roman"/>
          <w:sz w:val="24"/>
          <w:szCs w:val="24"/>
        </w:rPr>
        <w:t xml:space="preserve">PPMC, </w:t>
      </w:r>
      <w:r>
        <w:rPr>
          <w:rFonts w:ascii="Times New Roman" w:hAnsi="Times New Roman"/>
          <w:sz w:val="24"/>
          <w:szCs w:val="24"/>
        </w:rPr>
        <w:t>Katie Hamilton,</w:t>
      </w:r>
      <w:r w:rsidRPr="006B417A">
        <w:rPr>
          <w:rFonts w:ascii="Times New Roman" w:hAnsi="Times New Roman"/>
          <w:sz w:val="24"/>
          <w:szCs w:val="24"/>
        </w:rPr>
        <w:t xml:space="preserve"> Esther Ndungu and their colleagues for all their work to make this meeting </w:t>
      </w:r>
      <w:r>
        <w:rPr>
          <w:rFonts w:ascii="Times New Roman" w:hAnsi="Times New Roman"/>
          <w:sz w:val="24"/>
          <w:szCs w:val="24"/>
        </w:rPr>
        <w:t xml:space="preserve">and our involvement </w:t>
      </w:r>
      <w:r w:rsidRPr="006B417A">
        <w:rPr>
          <w:rFonts w:ascii="Times New Roman" w:hAnsi="Times New Roman"/>
          <w:sz w:val="24"/>
          <w:szCs w:val="24"/>
        </w:rPr>
        <w:t xml:space="preserve">useful.  </w:t>
      </w:r>
      <w:r>
        <w:rPr>
          <w:rFonts w:ascii="Times New Roman" w:hAnsi="Times New Roman"/>
          <w:sz w:val="24"/>
          <w:szCs w:val="24"/>
        </w:rPr>
        <w:t xml:space="preserve">The SPAC appreciated the </w:t>
      </w:r>
      <w:r w:rsidRPr="006B417A">
        <w:rPr>
          <w:rFonts w:ascii="Times New Roman" w:hAnsi="Times New Roman"/>
          <w:sz w:val="24"/>
          <w:szCs w:val="24"/>
        </w:rPr>
        <w:t>involvement of</w:t>
      </w:r>
      <w:r>
        <w:rPr>
          <w:rFonts w:ascii="Times New Roman" w:hAnsi="Times New Roman"/>
          <w:sz w:val="24"/>
          <w:szCs w:val="24"/>
        </w:rPr>
        <w:t xml:space="preserve"> </w:t>
      </w:r>
      <w:r w:rsidRPr="006B417A">
        <w:rPr>
          <w:rFonts w:ascii="Times New Roman" w:hAnsi="Times New Roman"/>
          <w:sz w:val="24"/>
          <w:szCs w:val="24"/>
        </w:rPr>
        <w:t>DG Jimmy Smith in the meetings.</w:t>
      </w:r>
      <w:r>
        <w:rPr>
          <w:rFonts w:ascii="Times New Roman" w:hAnsi="Times New Roman"/>
          <w:sz w:val="24"/>
          <w:szCs w:val="24"/>
        </w:rPr>
        <w:t xml:space="preserve"> </w:t>
      </w:r>
    </w:p>
    <w:p w:rsidR="00E220EF" w:rsidRPr="00A60B74" w:rsidRDefault="00E220EF" w:rsidP="00E220EF">
      <w:pPr>
        <w:rPr>
          <w:rFonts w:ascii="Times New Roman" w:hAnsi="Times New Roman" w:cs="Times New Roman"/>
          <w:sz w:val="24"/>
          <w:szCs w:val="24"/>
        </w:rPr>
      </w:pPr>
    </w:p>
    <w:p w:rsidR="00E220EF" w:rsidRPr="00047249" w:rsidRDefault="00E220EF" w:rsidP="00E220EF">
      <w:pPr>
        <w:rPr>
          <w:rFonts w:ascii="Times New Roman" w:hAnsi="Times New Roman" w:cs="Times New Roman"/>
          <w:sz w:val="24"/>
          <w:szCs w:val="24"/>
        </w:rPr>
      </w:pPr>
      <w:r w:rsidRPr="00A60B74">
        <w:rPr>
          <w:rFonts w:ascii="Times New Roman" w:hAnsi="Times New Roman" w:cs="Times New Roman"/>
          <w:sz w:val="24"/>
          <w:szCs w:val="24"/>
        </w:rPr>
        <w:t xml:space="preserve">Our review and comments are given </w:t>
      </w:r>
      <w:r w:rsidRPr="00047249">
        <w:rPr>
          <w:rFonts w:ascii="Times New Roman" w:hAnsi="Times New Roman" w:cs="Times New Roman"/>
          <w:sz w:val="24"/>
          <w:szCs w:val="24"/>
        </w:rPr>
        <w:t>under the following topics:</w:t>
      </w:r>
    </w:p>
    <w:p w:rsidR="00E220EF" w:rsidRPr="00047249" w:rsidRDefault="00E220EF" w:rsidP="00E220EF">
      <w:pPr>
        <w:pStyle w:val="ListParagraph"/>
        <w:numPr>
          <w:ilvl w:val="0"/>
          <w:numId w:val="16"/>
        </w:numPr>
        <w:spacing w:after="0" w:line="240" w:lineRule="auto"/>
        <w:rPr>
          <w:rFonts w:ascii="Times New Roman" w:hAnsi="Times New Roman"/>
          <w:sz w:val="24"/>
          <w:szCs w:val="24"/>
        </w:rPr>
      </w:pPr>
      <w:r w:rsidRPr="00047249">
        <w:rPr>
          <w:rFonts w:ascii="Times New Roman" w:hAnsi="Times New Roman"/>
          <w:sz w:val="24"/>
          <w:szCs w:val="24"/>
        </w:rPr>
        <w:t>Progress in 2016 made in the Flagships and Value Chains</w:t>
      </w:r>
    </w:p>
    <w:p w:rsidR="00E220EF" w:rsidRPr="006773AB" w:rsidRDefault="00E220EF" w:rsidP="00E220EF">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Our f</w:t>
      </w:r>
      <w:r w:rsidRPr="006773AB">
        <w:rPr>
          <w:rFonts w:ascii="Times New Roman" w:hAnsi="Times New Roman"/>
          <w:sz w:val="24"/>
          <w:szCs w:val="24"/>
        </w:rPr>
        <w:t>eedback from review and lessons learned</w:t>
      </w:r>
    </w:p>
    <w:p w:rsidR="00E220EF" w:rsidRPr="00047249" w:rsidRDefault="00E220EF" w:rsidP="00E220EF">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SPAC’s r</w:t>
      </w:r>
      <w:r w:rsidRPr="00047249">
        <w:rPr>
          <w:rFonts w:ascii="Times New Roman" w:hAnsi="Times New Roman"/>
          <w:sz w:val="24"/>
          <w:szCs w:val="24"/>
        </w:rPr>
        <w:t>eflections on L&amp;F model for AR4D</w:t>
      </w:r>
    </w:p>
    <w:p w:rsidR="00E220EF" w:rsidRPr="00A60B74" w:rsidRDefault="00E220EF" w:rsidP="00E220EF">
      <w:pPr>
        <w:rPr>
          <w:rFonts w:ascii="Times New Roman" w:hAnsi="Times New Roman" w:cs="Times New Roman"/>
          <w:sz w:val="24"/>
          <w:szCs w:val="24"/>
        </w:rPr>
      </w:pPr>
    </w:p>
    <w:p w:rsidR="00E220EF" w:rsidRPr="00A60B74" w:rsidRDefault="00E220EF" w:rsidP="00E220EF">
      <w:pPr>
        <w:rPr>
          <w:rFonts w:ascii="Times New Roman" w:hAnsi="Times New Roman" w:cs="Times New Roman"/>
          <w:b/>
          <w:sz w:val="24"/>
          <w:szCs w:val="24"/>
        </w:rPr>
      </w:pPr>
      <w:r>
        <w:rPr>
          <w:rFonts w:ascii="Times New Roman" w:hAnsi="Times New Roman" w:cs="Times New Roman"/>
          <w:b/>
          <w:sz w:val="24"/>
          <w:szCs w:val="24"/>
        </w:rPr>
        <w:t>Progress in 2016 in the F</w:t>
      </w:r>
      <w:r w:rsidRPr="00A60B74">
        <w:rPr>
          <w:rFonts w:ascii="Times New Roman" w:hAnsi="Times New Roman" w:cs="Times New Roman"/>
          <w:b/>
          <w:sz w:val="24"/>
          <w:szCs w:val="24"/>
        </w:rPr>
        <w:t>lagships</w:t>
      </w:r>
      <w:r>
        <w:rPr>
          <w:rFonts w:ascii="Times New Roman" w:hAnsi="Times New Roman" w:cs="Times New Roman"/>
          <w:b/>
          <w:sz w:val="24"/>
          <w:szCs w:val="24"/>
        </w:rPr>
        <w:t xml:space="preserve"> and Value Chains</w:t>
      </w:r>
    </w:p>
    <w:p w:rsidR="00E220EF" w:rsidRDefault="00E220EF" w:rsidP="00E220EF">
      <w:pPr>
        <w:rPr>
          <w:rFonts w:ascii="Times New Roman" w:hAnsi="Times New Roman" w:cs="Times New Roman"/>
          <w:b/>
          <w:sz w:val="24"/>
          <w:szCs w:val="24"/>
        </w:rPr>
      </w:pPr>
      <w:r>
        <w:rPr>
          <w:rFonts w:ascii="Times New Roman" w:hAnsi="Times New Roman" w:cs="Times New Roman"/>
          <w:b/>
          <w:sz w:val="24"/>
          <w:szCs w:val="24"/>
        </w:rPr>
        <w:t xml:space="preserve">Animal Health (AH) </w:t>
      </w:r>
    </w:p>
    <w:p w:rsidR="00E220EF" w:rsidRDefault="00E220EF" w:rsidP="00E220EF">
      <w:pPr>
        <w:rPr>
          <w:rFonts w:ascii="Times New Roman" w:hAnsi="Times New Roman"/>
          <w:sz w:val="24"/>
          <w:szCs w:val="24"/>
        </w:rPr>
      </w:pPr>
      <w:r>
        <w:rPr>
          <w:rFonts w:ascii="Times New Roman" w:hAnsi="Times New Roman"/>
          <w:sz w:val="24"/>
          <w:szCs w:val="24"/>
        </w:rPr>
        <w:t>The animal health report and presentation were concise and well presented.  The early SPAC view of the AH flagship was that there was a disconnect between the legacy research carried out in Nairobi and the animal health needs of the VCs.  It has been encouraging to see that this has been addressed largely through the appointment of Barbara Wieland as epidemiologist who appears to have led the field initiatives in disease investigation, surveillance and planning of interventions in several of the VCs.</w:t>
      </w:r>
    </w:p>
    <w:p w:rsidR="00E220EF" w:rsidRDefault="00E220EF" w:rsidP="00E220EF">
      <w:pPr>
        <w:rPr>
          <w:rFonts w:ascii="Times New Roman" w:hAnsi="Times New Roman"/>
          <w:sz w:val="24"/>
          <w:szCs w:val="24"/>
        </w:rPr>
      </w:pPr>
      <w:r>
        <w:rPr>
          <w:rFonts w:ascii="Times New Roman" w:hAnsi="Times New Roman"/>
          <w:sz w:val="24"/>
          <w:szCs w:val="24"/>
        </w:rPr>
        <w:t>The division of the Flagship into 4 clusters, Assessment, Interventions, Diagnostics and Vaccines, and AH service delivery has been a logical and well thought out innovation.  There has been significant progress in Assessment, for example in the Vietnamese, and Ugandan pig VCs, Tanzanian dairy, Ethiopian small ruminants and Egyptian fish, amongst others.  There has also been an assessment of gender constraints in AH.  In particular it is encouraging to see some results beginning to emerge in fish health.  Attention has also been paid to Interventions by developing tools and training possible participants although it is too early to evaluate any impact.  For Diagnostics and Vaccines, work has continued on ECF vaccine, ASF antigens and a CCPP experimental infection model has been developed.  Also a new lateral flow CBPP diagnostic kit has been transferred to a commercial diagnostic company.  In terms of service delivery there has been progress in hatching shrimp seed, vaccination against PPR in Mali and delivery of ECF ITM vaccine in Tanzania amongst other projects.</w:t>
      </w:r>
    </w:p>
    <w:p w:rsidR="00E220EF" w:rsidRDefault="00E220EF" w:rsidP="00E220EF">
      <w:pPr>
        <w:rPr>
          <w:rFonts w:ascii="Times New Roman" w:hAnsi="Times New Roman"/>
          <w:sz w:val="24"/>
          <w:szCs w:val="24"/>
        </w:rPr>
      </w:pPr>
      <w:r>
        <w:rPr>
          <w:rFonts w:ascii="Times New Roman" w:hAnsi="Times New Roman"/>
          <w:sz w:val="24"/>
          <w:szCs w:val="24"/>
        </w:rPr>
        <w:t>The AH team held a synthesis workshop in November, during which they critically examined what went well, challenges faced, limitations etc. together with thinking about challenges for the future.</w:t>
      </w:r>
    </w:p>
    <w:p w:rsidR="00E220EF" w:rsidRDefault="00E220EF" w:rsidP="00E220EF">
      <w:pPr>
        <w:rPr>
          <w:rFonts w:ascii="Times New Roman" w:hAnsi="Times New Roman"/>
          <w:sz w:val="24"/>
          <w:szCs w:val="24"/>
        </w:rPr>
      </w:pPr>
      <w:r>
        <w:rPr>
          <w:rFonts w:ascii="Times New Roman" w:hAnsi="Times New Roman"/>
          <w:sz w:val="24"/>
          <w:szCs w:val="24"/>
        </w:rPr>
        <w:t xml:space="preserve">There was discussion about the balance between the upstream versus downstream research effort and how to balance resources and how to move from pilot scale to full scale where interventions are concerned.  It was agreed that partnerships are important at all levels and it was clear that their success would determine the success or otherwise of the overall outcome.  It is noted that the animal health industry is beginning to take more interest in sub-Saharan Africa and other LMICs as important future markets and it is suggested that every effort should be made to leverage and encourage this so that they will invest in appropriate animal health solutions, thus creating sustainability.  </w:t>
      </w:r>
    </w:p>
    <w:p w:rsidR="00E220EF" w:rsidRDefault="00E220EF" w:rsidP="00E220EF">
      <w:pPr>
        <w:rPr>
          <w:rFonts w:ascii="Times New Roman" w:hAnsi="Times New Roman"/>
          <w:sz w:val="24"/>
          <w:szCs w:val="24"/>
        </w:rPr>
      </w:pPr>
      <w:r>
        <w:rPr>
          <w:rFonts w:ascii="Times New Roman" w:hAnsi="Times New Roman"/>
          <w:sz w:val="24"/>
          <w:szCs w:val="24"/>
        </w:rPr>
        <w:t>Overall the SPAC was pleased with the progress made by the AH Flagship and recommends that the momentum in all 4 clusters should be maintained in the next phase of the CRP.</w:t>
      </w:r>
    </w:p>
    <w:p w:rsidR="00E220EF" w:rsidRPr="00C1383D" w:rsidRDefault="00E220EF" w:rsidP="00E220EF">
      <w:pPr>
        <w:rPr>
          <w:rFonts w:ascii="Times New Roman" w:hAnsi="Times New Roman" w:cs="Times New Roman"/>
          <w:b/>
          <w:sz w:val="24"/>
          <w:szCs w:val="24"/>
        </w:rPr>
      </w:pPr>
      <w:r w:rsidRPr="00C1383D">
        <w:rPr>
          <w:rFonts w:ascii="Times New Roman" w:hAnsi="Times New Roman" w:cs="Times New Roman"/>
          <w:b/>
          <w:sz w:val="24"/>
          <w:szCs w:val="24"/>
        </w:rPr>
        <w:t>Genetics</w:t>
      </w:r>
    </w:p>
    <w:p w:rsidR="00E220EF" w:rsidRPr="00E220EF" w:rsidRDefault="00E220EF" w:rsidP="00E220EF">
      <w:pPr>
        <w:rPr>
          <w:rFonts w:ascii="Times New Roman" w:hAnsi="Times New Roman"/>
          <w:sz w:val="24"/>
          <w:szCs w:val="24"/>
        </w:rPr>
      </w:pPr>
      <w:r w:rsidRPr="00E220EF">
        <w:rPr>
          <w:rFonts w:ascii="Times New Roman" w:hAnsi="Times New Roman"/>
          <w:sz w:val="24"/>
          <w:szCs w:val="24"/>
        </w:rPr>
        <w:t>This Flagship’s primary goals were to develop and use improved breeds and strains of livestock and fish that can perform in a range of farming systems and in challenging and changing environments to improve food production and livelihoods for and by the poor. Primary activities were devoted to identifying both traits of importance to small holders but also differences among breeds and strains of livestock and fish.  This Flagship collaborates most closely with the Animal Health and Feeds Flagships and operates extensively in most of the 8 value chains. The clusters were defined as 1) Systems, Strategy, and Genome Assessment, 2) Improved Breeds and Strains, 3) Delivery and Use Systems and 4) Breakthrough Technologies and Information Systems.</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Progress</w:t>
      </w:r>
      <w:r>
        <w:rPr>
          <w:rFonts w:ascii="Times New Roman" w:eastAsia="Calibri" w:hAnsi="Times New Roman" w:cs="Times New Roman"/>
          <w:sz w:val="24"/>
          <w:szCs w:val="24"/>
        </w:rPr>
        <w:t xml:space="preserve"> and achievements</w:t>
      </w:r>
      <w:r w:rsidRPr="00C1383D">
        <w:rPr>
          <w:rFonts w:ascii="Times New Roman" w:eastAsia="Calibri" w:hAnsi="Times New Roman" w:cs="Times New Roman"/>
          <w:sz w:val="24"/>
          <w:szCs w:val="24"/>
        </w:rPr>
        <w:t xml:space="preserve"> reported in 2016 as reviewed in the reports and the presentation w</w:t>
      </w:r>
      <w:r>
        <w:rPr>
          <w:rFonts w:ascii="Times New Roman" w:eastAsia="Calibri" w:hAnsi="Times New Roman" w:cs="Times New Roman"/>
          <w:sz w:val="24"/>
          <w:szCs w:val="24"/>
        </w:rPr>
        <w:t>ere</w:t>
      </w:r>
      <w:r w:rsidRPr="00C1383D">
        <w:rPr>
          <w:rFonts w:ascii="Times New Roman" w:eastAsia="Calibri" w:hAnsi="Times New Roman" w:cs="Times New Roman"/>
          <w:sz w:val="24"/>
          <w:szCs w:val="24"/>
        </w:rPr>
        <w:t xml:space="preserve"> considerable.  Under </w:t>
      </w:r>
      <w:r>
        <w:rPr>
          <w:rFonts w:ascii="Times New Roman" w:eastAsia="Calibri" w:hAnsi="Times New Roman" w:cs="Times New Roman"/>
          <w:sz w:val="24"/>
          <w:szCs w:val="24"/>
        </w:rPr>
        <w:t>Cl</w:t>
      </w:r>
      <w:r w:rsidRPr="00C1383D">
        <w:rPr>
          <w:rFonts w:ascii="Times New Roman" w:eastAsia="Calibri" w:hAnsi="Times New Roman" w:cs="Times New Roman"/>
          <w:sz w:val="24"/>
          <w:szCs w:val="24"/>
        </w:rPr>
        <w:t>uster 1</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genome assessments were carried out in the pig value chain in Vietnam, </w:t>
      </w:r>
      <w:r>
        <w:rPr>
          <w:rFonts w:ascii="Times New Roman" w:eastAsia="Calibri" w:hAnsi="Times New Roman" w:cs="Times New Roman"/>
          <w:sz w:val="24"/>
          <w:szCs w:val="24"/>
        </w:rPr>
        <w:t xml:space="preserve">and </w:t>
      </w:r>
      <w:r w:rsidRPr="00C1383D">
        <w:rPr>
          <w:rFonts w:ascii="Times New Roman" w:eastAsia="Calibri" w:hAnsi="Times New Roman" w:cs="Times New Roman"/>
          <w:sz w:val="24"/>
          <w:szCs w:val="24"/>
        </w:rPr>
        <w:t>sheep and goats in the Ethiopian value chain.  Additionally, outside the value chains</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research in </w:t>
      </w:r>
      <w:r>
        <w:rPr>
          <w:rFonts w:ascii="Times New Roman" w:eastAsia="Calibri" w:hAnsi="Times New Roman" w:cs="Times New Roman"/>
          <w:sz w:val="24"/>
          <w:szCs w:val="24"/>
        </w:rPr>
        <w:t xml:space="preserve">this </w:t>
      </w:r>
      <w:r w:rsidRPr="00C1383D">
        <w:rPr>
          <w:rFonts w:ascii="Times New Roman" w:eastAsia="Calibri" w:hAnsi="Times New Roman" w:cs="Times New Roman"/>
          <w:sz w:val="24"/>
          <w:szCs w:val="24"/>
        </w:rPr>
        <w:t xml:space="preserve">cluster was carried out in several other species and locations. In particular, the influx of bilateral funding for the African Chicken Genetic Gains (ACGG) program and the African Dairy Genetic Gains (ADGG) from the Bill and Melinda Gates Foundation (BMGF) allowed the addition of genomic and phenotypic evaluation of African chickens to the work of the Genetics Flagship and more extensive evaluation of dairy cattle genomics in the Tanzania value chain.  In </w:t>
      </w:r>
      <w:r>
        <w:rPr>
          <w:rFonts w:ascii="Times New Roman" w:eastAsia="Calibri" w:hAnsi="Times New Roman" w:cs="Times New Roman"/>
          <w:sz w:val="24"/>
          <w:szCs w:val="24"/>
        </w:rPr>
        <w:t>C</w:t>
      </w:r>
      <w:r w:rsidRPr="00C1383D">
        <w:rPr>
          <w:rFonts w:ascii="Times New Roman" w:eastAsia="Calibri" w:hAnsi="Times New Roman" w:cs="Times New Roman"/>
          <w:sz w:val="24"/>
          <w:szCs w:val="24"/>
        </w:rPr>
        <w:t>luster 2 extensive activities in breed preference in Senegal w</w:t>
      </w:r>
      <w:r>
        <w:rPr>
          <w:rFonts w:ascii="Times New Roman" w:eastAsia="Calibri" w:hAnsi="Times New Roman" w:cs="Times New Roman"/>
          <w:sz w:val="24"/>
          <w:szCs w:val="24"/>
        </w:rPr>
        <w:t>ere</w:t>
      </w:r>
      <w:r w:rsidRPr="00C1383D">
        <w:rPr>
          <w:rFonts w:ascii="Times New Roman" w:eastAsia="Calibri" w:hAnsi="Times New Roman" w:cs="Times New Roman"/>
          <w:sz w:val="24"/>
          <w:szCs w:val="24"/>
        </w:rPr>
        <w:t xml:space="preserve"> carried out and with considerable attention paid to gender issues. Community Based Breeding Programs</w:t>
      </w:r>
      <w:r>
        <w:rPr>
          <w:rFonts w:ascii="Times New Roman" w:eastAsia="Calibri" w:hAnsi="Times New Roman" w:cs="Times New Roman"/>
          <w:sz w:val="24"/>
          <w:szCs w:val="24"/>
        </w:rPr>
        <w:t xml:space="preserve"> (CBBP)</w:t>
      </w:r>
      <w:r w:rsidRPr="00C1383D">
        <w:rPr>
          <w:rFonts w:ascii="Times New Roman" w:eastAsia="Calibri" w:hAnsi="Times New Roman" w:cs="Times New Roman"/>
          <w:sz w:val="24"/>
          <w:szCs w:val="24"/>
        </w:rPr>
        <w:t xml:space="preserve"> were also examined and supported for the small ruminant value chain efforts in Ethiopia and other small ruminant work in Kenya and dual purpose cattle in Nicaragua. These projects all had gender components.  In </w:t>
      </w:r>
      <w:r>
        <w:rPr>
          <w:rFonts w:ascii="Times New Roman" w:eastAsia="Calibri" w:hAnsi="Times New Roman" w:cs="Times New Roman"/>
          <w:sz w:val="24"/>
          <w:szCs w:val="24"/>
        </w:rPr>
        <w:t>C</w:t>
      </w:r>
      <w:r w:rsidRPr="00C1383D">
        <w:rPr>
          <w:rFonts w:ascii="Times New Roman" w:eastAsia="Calibri" w:hAnsi="Times New Roman" w:cs="Times New Roman"/>
          <w:sz w:val="24"/>
          <w:szCs w:val="24"/>
        </w:rPr>
        <w:t xml:space="preserve">luster 3 delivery of genetics was well demonstrated through </w:t>
      </w:r>
      <w:r>
        <w:rPr>
          <w:rFonts w:ascii="Times New Roman" w:eastAsia="Calibri" w:hAnsi="Times New Roman" w:cs="Times New Roman"/>
          <w:sz w:val="24"/>
          <w:szCs w:val="24"/>
        </w:rPr>
        <w:t xml:space="preserve">the various </w:t>
      </w:r>
      <w:r w:rsidRPr="00C1383D">
        <w:rPr>
          <w:rFonts w:ascii="Times New Roman" w:eastAsia="Calibri" w:hAnsi="Times New Roman" w:cs="Times New Roman"/>
          <w:sz w:val="24"/>
          <w:szCs w:val="24"/>
        </w:rPr>
        <w:t>CBBP</w:t>
      </w:r>
      <w:r>
        <w:rPr>
          <w:rFonts w:ascii="Times New Roman" w:eastAsia="Calibri" w:hAnsi="Times New Roman" w:cs="Times New Roman"/>
          <w:sz w:val="24"/>
          <w:szCs w:val="24"/>
        </w:rPr>
        <w:t>s</w:t>
      </w:r>
      <w:r w:rsidRPr="00C1383D">
        <w:rPr>
          <w:rFonts w:ascii="Times New Roman" w:eastAsia="Calibri" w:hAnsi="Times New Roman" w:cs="Times New Roman"/>
          <w:sz w:val="24"/>
          <w:szCs w:val="24"/>
        </w:rPr>
        <w:t xml:space="preserve">, improved health programs or new reproductive technologies. Advances in reproductive technology research and transgenic technologies also were reported. The partnership </w:t>
      </w:r>
      <w:r>
        <w:rPr>
          <w:rFonts w:ascii="Times New Roman" w:eastAsia="Calibri" w:hAnsi="Times New Roman" w:cs="Times New Roman"/>
          <w:sz w:val="24"/>
          <w:szCs w:val="24"/>
        </w:rPr>
        <w:t>in</w:t>
      </w:r>
      <w:r w:rsidRPr="00C1383D">
        <w:rPr>
          <w:rFonts w:ascii="Times New Roman" w:eastAsia="Calibri" w:hAnsi="Times New Roman" w:cs="Times New Roman"/>
          <w:sz w:val="24"/>
          <w:szCs w:val="24"/>
        </w:rPr>
        <w:t xml:space="preserve"> the </w:t>
      </w:r>
      <w:r>
        <w:rPr>
          <w:rFonts w:ascii="Times New Roman" w:eastAsia="Calibri" w:hAnsi="Times New Roman" w:cs="Times New Roman"/>
          <w:sz w:val="24"/>
          <w:szCs w:val="24"/>
        </w:rPr>
        <w:t>Centre for Tropical Genetics and Health (</w:t>
      </w:r>
      <w:r w:rsidRPr="00C1383D">
        <w:rPr>
          <w:rFonts w:ascii="Times New Roman" w:eastAsia="Calibri" w:hAnsi="Times New Roman" w:cs="Times New Roman"/>
          <w:sz w:val="24"/>
          <w:szCs w:val="24"/>
        </w:rPr>
        <w:t>CTLGH</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has also helped to expand the data depository for information related to diseases and combined with information from the ILRI biorepository offers the opportunit</w:t>
      </w:r>
      <w:r>
        <w:rPr>
          <w:rFonts w:ascii="Times New Roman" w:eastAsia="Calibri" w:hAnsi="Times New Roman" w:cs="Times New Roman"/>
          <w:sz w:val="24"/>
          <w:szCs w:val="24"/>
        </w:rPr>
        <w:t>y for excellent future research.</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Genetic Flagship research results </w:t>
      </w:r>
      <w:r>
        <w:rPr>
          <w:rFonts w:ascii="Times New Roman" w:eastAsia="Calibri" w:hAnsi="Times New Roman" w:cs="Times New Roman"/>
          <w:sz w:val="24"/>
          <w:szCs w:val="24"/>
        </w:rPr>
        <w:t xml:space="preserve">are included </w:t>
      </w:r>
      <w:r w:rsidRPr="00C1383D">
        <w:rPr>
          <w:rFonts w:ascii="Times New Roman" w:eastAsia="Calibri" w:hAnsi="Times New Roman" w:cs="Times New Roman"/>
          <w:sz w:val="24"/>
          <w:szCs w:val="24"/>
        </w:rPr>
        <w:t>in most of the value chains</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with particular progress made with fish genetics in Egypt, dairy cattle in Tanzania and small ruminants in Ethiopia. Genetics research with pigs in Vietnam and Uganda and cattle in India while having begun to increase in 2016 lags behind that of the more successful value chains.</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Collaborations with the other </w:t>
      </w:r>
      <w:r>
        <w:rPr>
          <w:rFonts w:ascii="Times New Roman" w:eastAsia="Calibri" w:hAnsi="Times New Roman" w:cs="Times New Roman"/>
          <w:sz w:val="24"/>
          <w:szCs w:val="24"/>
        </w:rPr>
        <w:t>F</w:t>
      </w:r>
      <w:r w:rsidRPr="00C1383D">
        <w:rPr>
          <w:rFonts w:ascii="Times New Roman" w:eastAsia="Calibri" w:hAnsi="Times New Roman" w:cs="Times New Roman"/>
          <w:sz w:val="24"/>
          <w:szCs w:val="24"/>
        </w:rPr>
        <w:t>lagships particularly Animal Health are of note.  The possible identification of animals resistant to ECF is a good demonstration of possible upstream research having large effects on downstream value chain activities.</w:t>
      </w:r>
    </w:p>
    <w:p w:rsidR="00E220EF" w:rsidRPr="00C1383D" w:rsidRDefault="00E220EF" w:rsidP="00E220EF">
      <w:pPr>
        <w:jc w:val="both"/>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A synthesis activity </w:t>
      </w:r>
      <w:r>
        <w:rPr>
          <w:rFonts w:ascii="Times New Roman" w:eastAsia="Calibri" w:hAnsi="Times New Roman" w:cs="Times New Roman"/>
          <w:sz w:val="24"/>
          <w:szCs w:val="24"/>
        </w:rPr>
        <w:t xml:space="preserve">for this Flagship </w:t>
      </w:r>
      <w:r w:rsidRPr="00C1383D">
        <w:rPr>
          <w:rFonts w:ascii="Times New Roman" w:eastAsia="Calibri" w:hAnsi="Times New Roman" w:cs="Times New Roman"/>
          <w:sz w:val="24"/>
          <w:szCs w:val="24"/>
        </w:rPr>
        <w:t>was begun.  Clear</w:t>
      </w:r>
      <w:r>
        <w:rPr>
          <w:rFonts w:ascii="Times New Roman" w:eastAsia="Calibri" w:hAnsi="Times New Roman" w:cs="Times New Roman"/>
          <w:sz w:val="24"/>
          <w:szCs w:val="24"/>
        </w:rPr>
        <w:t>l</w:t>
      </w:r>
      <w:r w:rsidRPr="00C1383D">
        <w:rPr>
          <w:rFonts w:ascii="Times New Roman" w:eastAsia="Calibri" w:hAnsi="Times New Roman" w:cs="Times New Roman"/>
          <w:sz w:val="24"/>
          <w:szCs w:val="24"/>
        </w:rPr>
        <w:t>y this</w:t>
      </w:r>
      <w:r>
        <w:rPr>
          <w:rFonts w:ascii="Times New Roman" w:eastAsia="Calibri" w:hAnsi="Times New Roman" w:cs="Times New Roman"/>
          <w:sz w:val="24"/>
          <w:szCs w:val="24"/>
        </w:rPr>
        <w:t xml:space="preserve"> activity</w:t>
      </w:r>
      <w:r w:rsidRPr="00C1383D">
        <w:rPr>
          <w:rFonts w:ascii="Times New Roman" w:eastAsia="Calibri" w:hAnsi="Times New Roman" w:cs="Times New Roman"/>
          <w:sz w:val="24"/>
          <w:szCs w:val="24"/>
        </w:rPr>
        <w:t xml:space="preserve"> </w:t>
      </w:r>
      <w:r>
        <w:rPr>
          <w:rFonts w:ascii="Times New Roman" w:eastAsia="Calibri" w:hAnsi="Times New Roman" w:cs="Times New Roman"/>
          <w:sz w:val="24"/>
          <w:szCs w:val="24"/>
        </w:rPr>
        <w:t>will</w:t>
      </w:r>
      <w:r w:rsidRPr="00C1383D">
        <w:rPr>
          <w:rFonts w:ascii="Times New Roman" w:eastAsia="Calibri" w:hAnsi="Times New Roman" w:cs="Times New Roman"/>
          <w:sz w:val="24"/>
          <w:szCs w:val="24"/>
        </w:rPr>
        <w:t xml:space="preserve"> be of significant value to this </w:t>
      </w:r>
      <w:r>
        <w:rPr>
          <w:rFonts w:ascii="Times New Roman" w:eastAsia="Calibri" w:hAnsi="Times New Roman" w:cs="Times New Roman"/>
          <w:sz w:val="24"/>
          <w:szCs w:val="24"/>
        </w:rPr>
        <w:t>F</w:t>
      </w:r>
      <w:r w:rsidRPr="00C1383D">
        <w:rPr>
          <w:rFonts w:ascii="Times New Roman" w:eastAsia="Calibri" w:hAnsi="Times New Roman" w:cs="Times New Roman"/>
          <w:sz w:val="24"/>
          <w:szCs w:val="24"/>
        </w:rPr>
        <w:t xml:space="preserve">lagship </w:t>
      </w:r>
      <w:r>
        <w:rPr>
          <w:rFonts w:ascii="Times New Roman" w:eastAsia="Calibri" w:hAnsi="Times New Roman" w:cs="Times New Roman"/>
          <w:sz w:val="24"/>
          <w:szCs w:val="24"/>
        </w:rPr>
        <w:t xml:space="preserve">when completed </w:t>
      </w:r>
      <w:r w:rsidRPr="00C1383D">
        <w:rPr>
          <w:rFonts w:ascii="Times New Roman" w:eastAsia="Calibri" w:hAnsi="Times New Roman" w:cs="Times New Roman"/>
          <w:sz w:val="24"/>
          <w:szCs w:val="24"/>
        </w:rPr>
        <w:t xml:space="preserve">as they </w:t>
      </w:r>
      <w:r>
        <w:rPr>
          <w:rFonts w:ascii="Times New Roman" w:eastAsia="Calibri" w:hAnsi="Times New Roman" w:cs="Times New Roman"/>
          <w:sz w:val="24"/>
          <w:szCs w:val="24"/>
        </w:rPr>
        <w:t xml:space="preserve">need to all </w:t>
      </w:r>
      <w:r w:rsidRPr="00C1383D">
        <w:rPr>
          <w:rFonts w:ascii="Times New Roman" w:eastAsia="Calibri" w:hAnsi="Times New Roman" w:cs="Times New Roman"/>
          <w:sz w:val="24"/>
          <w:szCs w:val="24"/>
        </w:rPr>
        <w:t xml:space="preserve">consider what has been accomplished and how to move forward.  The lack of </w:t>
      </w:r>
      <w:r>
        <w:rPr>
          <w:rFonts w:ascii="Times New Roman" w:eastAsia="Calibri" w:hAnsi="Times New Roman" w:cs="Times New Roman"/>
          <w:sz w:val="24"/>
          <w:szCs w:val="24"/>
        </w:rPr>
        <w:t xml:space="preserve">personnel </w:t>
      </w:r>
      <w:r w:rsidRPr="00C1383D">
        <w:rPr>
          <w:rFonts w:ascii="Times New Roman" w:eastAsia="Calibri" w:hAnsi="Times New Roman" w:cs="Times New Roman"/>
          <w:sz w:val="24"/>
          <w:szCs w:val="24"/>
        </w:rPr>
        <w:t>to effectively deliver on projects, in particular on the side of ILRI</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where the genetics team currently has no post-docs or junior scientists to support more senio</w:t>
      </w:r>
      <w:r>
        <w:rPr>
          <w:rFonts w:ascii="Times New Roman" w:eastAsia="Calibri" w:hAnsi="Times New Roman" w:cs="Times New Roman"/>
          <w:sz w:val="24"/>
          <w:szCs w:val="24"/>
        </w:rPr>
        <w:t>r staff, needs to be remedied. Typical research outputs, including publications, and tools and repositories, have increased greatly and are evidence of significant accomplishments.</w:t>
      </w:r>
    </w:p>
    <w:p w:rsidR="00E220EF" w:rsidRPr="00D2098D" w:rsidRDefault="00E220EF" w:rsidP="00E220EF">
      <w:pPr>
        <w:jc w:val="both"/>
        <w:rPr>
          <w:rFonts w:ascii="Times New Roman" w:hAnsi="Times New Roman" w:cs="Times New Roman"/>
          <w:sz w:val="24"/>
          <w:szCs w:val="24"/>
        </w:rPr>
      </w:pPr>
    </w:p>
    <w:p w:rsidR="00E220EF" w:rsidRDefault="00E220EF" w:rsidP="00E220EF">
      <w:pPr>
        <w:rPr>
          <w:rFonts w:ascii="Times New Roman" w:hAnsi="Times New Roman"/>
          <w:b/>
          <w:bCs/>
          <w:sz w:val="24"/>
          <w:szCs w:val="24"/>
        </w:rPr>
      </w:pPr>
      <w:r>
        <w:rPr>
          <w:rFonts w:ascii="Times New Roman" w:hAnsi="Times New Roman"/>
          <w:b/>
          <w:bCs/>
          <w:sz w:val="24"/>
          <w:szCs w:val="24"/>
        </w:rPr>
        <w:t xml:space="preserve">Feeds and Forages  </w:t>
      </w:r>
    </w:p>
    <w:p w:rsidR="00E220EF" w:rsidRDefault="00E220EF" w:rsidP="00E220EF">
      <w:pPr>
        <w:jc w:val="both"/>
        <w:rPr>
          <w:rFonts w:ascii="Times New Roman" w:hAnsi="Times New Roman"/>
          <w:sz w:val="24"/>
          <w:szCs w:val="24"/>
          <w:lang w:val="en-IN"/>
        </w:rPr>
      </w:pPr>
      <w:r>
        <w:rPr>
          <w:rFonts w:ascii="Times New Roman" w:hAnsi="Times New Roman"/>
          <w:sz w:val="24"/>
          <w:szCs w:val="24"/>
        </w:rPr>
        <w:t xml:space="preserve">The Feeds and Forages Flagship is designed with the objective of creating </w:t>
      </w:r>
      <w:r>
        <w:rPr>
          <w:rFonts w:ascii="Times New Roman" w:hAnsi="Times New Roman"/>
          <w:sz w:val="24"/>
          <w:szCs w:val="24"/>
          <w:lang w:val="en-IN"/>
        </w:rPr>
        <w:t xml:space="preserve">superior feed and forage strategies responding to actual and evolving demands for meat, milk and fish production and design and implementation of equitable feed value chains with reduced ecological footprints. The broader objectives of the Flagship are to: (a) reduce feed costs relative to what farmers get for their produce, (b) provide feed resources to facilitate increase livestock and fish production and productivity, (c) increase income and livelihoods from feed/forage value chains and reduce labour/drudgery from feed resourcing and feeding, and (d) reduce environmental impacts from feed resourcing. </w:t>
      </w:r>
    </w:p>
    <w:p w:rsidR="00E220EF" w:rsidRDefault="00E220EF" w:rsidP="00E220EF">
      <w:pPr>
        <w:jc w:val="both"/>
        <w:rPr>
          <w:rFonts w:ascii="Times New Roman" w:hAnsi="Times New Roman"/>
          <w:sz w:val="24"/>
          <w:szCs w:val="24"/>
        </w:rPr>
      </w:pPr>
      <w:r>
        <w:rPr>
          <w:rFonts w:ascii="Times New Roman" w:hAnsi="Times New Roman"/>
          <w:sz w:val="24"/>
          <w:szCs w:val="24"/>
          <w:lang w:val="en-IN"/>
        </w:rPr>
        <w:t xml:space="preserve">Over the past year this Flagship has developed several strategic partnerships for both downstream research and delivery, with an outreach of over half a million farmers in India. </w:t>
      </w:r>
      <w:r>
        <w:rPr>
          <w:rFonts w:ascii="Times New Roman" w:hAnsi="Times New Roman"/>
          <w:sz w:val="24"/>
          <w:szCs w:val="24"/>
        </w:rPr>
        <w:t xml:space="preserve">A range of scientific research outputs have also been generated in 2016 owing to these strong partnerships. A worthy mention is the technology of turning an environmentally hazardous waste product, cassava peels, into high quality feed stuffs for ruminants and monogastrics, and its ‘up-take’ by several private sector enterprises in Nigeria. </w:t>
      </w:r>
    </w:p>
    <w:p w:rsidR="00E220EF" w:rsidRDefault="00E220EF" w:rsidP="00E220EF">
      <w:pPr>
        <w:jc w:val="both"/>
        <w:rPr>
          <w:rFonts w:ascii="Times New Roman" w:hAnsi="Times New Roman"/>
          <w:sz w:val="24"/>
          <w:szCs w:val="24"/>
          <w:lang w:val="en-IN"/>
        </w:rPr>
      </w:pPr>
      <w:r>
        <w:rPr>
          <w:rFonts w:ascii="Times New Roman" w:hAnsi="Times New Roman"/>
          <w:sz w:val="24"/>
          <w:szCs w:val="24"/>
          <w:lang w:val="en-IN"/>
        </w:rPr>
        <w:t xml:space="preserve">Under the three clusters of the Flagship, several activities have been conducted in considerable detail, although upstream research has been somewhat limited. Downstream research leading to knowledge and capacity development at ground level has been substantial with significant impact, however, effective integration with value chains requires further effort. </w:t>
      </w:r>
    </w:p>
    <w:p w:rsidR="00E220EF" w:rsidRDefault="00E220EF" w:rsidP="00E220EF">
      <w:pPr>
        <w:jc w:val="both"/>
        <w:rPr>
          <w:rFonts w:ascii="Times New Roman" w:hAnsi="Times New Roman"/>
          <w:sz w:val="24"/>
          <w:szCs w:val="24"/>
          <w:lang w:val="en-IN"/>
        </w:rPr>
      </w:pPr>
      <w:r>
        <w:rPr>
          <w:rFonts w:ascii="Times New Roman" w:hAnsi="Times New Roman"/>
          <w:sz w:val="24"/>
          <w:szCs w:val="24"/>
          <w:lang w:val="en-IN"/>
        </w:rPr>
        <w:t xml:space="preserve">The number of Feeds and Forages Flagship sites appears high (eleven countries), and with the cessation of W1 and W2 funding for this Flagship in the 2017 phase 2 of the livestock CRP, continuation of the work towards achieving the original objectives, conducting more upstream research, outreaching findings at field level, and integration of those into ongoing value chains, in all sites, will certainly be a challenge. Although a planned prioritization of activities has been proposed, it may require further thinking and analysis based on the level of resources will become available. </w:t>
      </w:r>
    </w:p>
    <w:p w:rsidR="00E220EF" w:rsidRDefault="00E220EF" w:rsidP="00E220EF">
      <w:pPr>
        <w:rPr>
          <w:rFonts w:ascii="Times New Roman" w:hAnsi="Times New Roman" w:cs="Times New Roman"/>
          <w:b/>
          <w:sz w:val="24"/>
          <w:szCs w:val="24"/>
        </w:rPr>
      </w:pPr>
    </w:p>
    <w:p w:rsidR="00E220EF" w:rsidRPr="00F11911" w:rsidRDefault="00E220EF" w:rsidP="00E220EF">
      <w:pPr>
        <w:rPr>
          <w:rFonts w:ascii="Times New Roman" w:hAnsi="Times New Roman"/>
          <w:b/>
          <w:bCs/>
          <w:sz w:val="24"/>
          <w:szCs w:val="24"/>
        </w:rPr>
      </w:pPr>
      <w:r w:rsidRPr="00F11911">
        <w:rPr>
          <w:rFonts w:ascii="Times New Roman" w:hAnsi="Times New Roman"/>
          <w:b/>
          <w:bCs/>
          <w:sz w:val="24"/>
          <w:szCs w:val="24"/>
        </w:rPr>
        <w:t>Systems Analysis for Sustainable Innovation (SASI)/ Value Chain Transformation and Scaling Flagship</w:t>
      </w:r>
      <w:r>
        <w:rPr>
          <w:rFonts w:ascii="Times New Roman" w:hAnsi="Times New Roman"/>
          <w:b/>
          <w:bCs/>
          <w:sz w:val="24"/>
          <w:szCs w:val="24"/>
        </w:rPr>
        <w:t xml:space="preserve"> </w:t>
      </w:r>
      <w:r w:rsidRPr="00F11911">
        <w:rPr>
          <w:rFonts w:ascii="Times New Roman" w:hAnsi="Times New Roman"/>
          <w:b/>
          <w:bCs/>
          <w:sz w:val="24"/>
          <w:szCs w:val="24"/>
        </w:rPr>
        <w:t>(VCTS)</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value chain narrative, as observed from both the individual value chain reporting and the flagship reporting, has matured (evolved) substantially over the last year.  Most of the value chains demonstrated extensive collaboration with the flagships.  They are applying science, and in some cases beginning to achieve take-up of the science.  Assessment outcomes, especially of ex-ante assessments, are seen to be very useful.  VCTS’ main contributions tend to be early in the individual value chain process and in training/capacity building.  SASI’s contributions are becoming evident.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value chains appear to vary substantially in terms of their level of linkage with upstream research, however.  Bangladesh, Egypt, Ethiopia, Tanzania and Uganda were </w:t>
      </w:r>
      <w:r>
        <w:rPr>
          <w:rFonts w:ascii="Times New Roman" w:hAnsi="Times New Roman" w:cs="Times New Roman"/>
          <w:sz w:val="24"/>
          <w:szCs w:val="24"/>
        </w:rPr>
        <w:t xml:space="preserve">all </w:t>
      </w:r>
      <w:r w:rsidRPr="00C967F1">
        <w:rPr>
          <w:rFonts w:ascii="Times New Roman" w:hAnsi="Times New Roman" w:cs="Times New Roman"/>
          <w:sz w:val="24"/>
          <w:szCs w:val="24"/>
        </w:rPr>
        <w:t>strong</w:t>
      </w:r>
      <w:r>
        <w:rPr>
          <w:rFonts w:ascii="Times New Roman" w:hAnsi="Times New Roman" w:cs="Times New Roman"/>
          <w:sz w:val="24"/>
          <w:szCs w:val="24"/>
        </w:rPr>
        <w:t xml:space="preserve"> in such linkages</w:t>
      </w:r>
      <w:r w:rsidRPr="00C967F1">
        <w:rPr>
          <w:rFonts w:ascii="Times New Roman" w:hAnsi="Times New Roman" w:cs="Times New Roman"/>
          <w:sz w:val="24"/>
          <w:szCs w:val="24"/>
        </w:rPr>
        <w:t>; India</w:t>
      </w:r>
      <w:r>
        <w:rPr>
          <w:rFonts w:ascii="Times New Roman" w:hAnsi="Times New Roman" w:cs="Times New Roman"/>
          <w:sz w:val="24"/>
          <w:szCs w:val="24"/>
        </w:rPr>
        <w:t xml:space="preserve"> and</w:t>
      </w:r>
      <w:r w:rsidRPr="00C967F1">
        <w:rPr>
          <w:rFonts w:ascii="Times New Roman" w:hAnsi="Times New Roman" w:cs="Times New Roman"/>
          <w:sz w:val="24"/>
          <w:szCs w:val="24"/>
        </w:rPr>
        <w:t xml:space="preserve"> Nicaragua were weak.</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Gender themes and perspectives are being integrated to a much greater degree than before in the value chains.  </w:t>
      </w:r>
      <w:r w:rsidRPr="002338FC">
        <w:rPr>
          <w:rFonts w:ascii="Times New Roman" w:hAnsi="Times New Roman" w:cs="Times New Roman"/>
          <w:sz w:val="24"/>
          <w:szCs w:val="24"/>
        </w:rPr>
        <w:t>The</w:t>
      </w:r>
      <w:r>
        <w:rPr>
          <w:rFonts w:ascii="Times New Roman" w:hAnsi="Times New Roman" w:cs="Times New Roman"/>
          <w:sz w:val="24"/>
          <w:szCs w:val="24"/>
        </w:rPr>
        <w:t xml:space="preserve"> Vietnam, </w:t>
      </w:r>
      <w:r w:rsidRPr="002338FC">
        <w:rPr>
          <w:rFonts w:ascii="Times New Roman" w:hAnsi="Times New Roman" w:cs="Times New Roman"/>
          <w:sz w:val="24"/>
          <w:szCs w:val="24"/>
        </w:rPr>
        <w:t>Egypt and Ethiopia value</w:t>
      </w:r>
      <w:r w:rsidRPr="00C967F1">
        <w:rPr>
          <w:rFonts w:ascii="Times New Roman" w:hAnsi="Times New Roman" w:cs="Times New Roman"/>
          <w:sz w:val="24"/>
          <w:szCs w:val="24"/>
        </w:rPr>
        <w:t xml:space="preserve"> chains are notable in this respect.</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Much of the value chain reporting has a very strong “development” focus.  This forms a superb narrative in some cases – Egypt, Tanzania</w:t>
      </w:r>
      <w:r>
        <w:rPr>
          <w:rFonts w:ascii="Times New Roman" w:hAnsi="Times New Roman" w:cs="Times New Roman"/>
          <w:sz w:val="24"/>
          <w:szCs w:val="24"/>
        </w:rPr>
        <w:t xml:space="preserve"> and</w:t>
      </w:r>
      <w:r w:rsidRPr="00C967F1">
        <w:rPr>
          <w:rFonts w:ascii="Times New Roman" w:hAnsi="Times New Roman" w:cs="Times New Roman"/>
          <w:sz w:val="24"/>
          <w:szCs w:val="24"/>
        </w:rPr>
        <w:t xml:space="preserve"> Uganda </w:t>
      </w:r>
      <w:r>
        <w:rPr>
          <w:rFonts w:ascii="Times New Roman" w:hAnsi="Times New Roman" w:cs="Times New Roman"/>
          <w:sz w:val="24"/>
          <w:szCs w:val="24"/>
        </w:rPr>
        <w:t>for example</w:t>
      </w:r>
      <w:r w:rsidRPr="00C967F1">
        <w:rPr>
          <w:rFonts w:ascii="Times New Roman" w:hAnsi="Times New Roman" w:cs="Times New Roman"/>
          <w:sz w:val="24"/>
          <w:szCs w:val="24"/>
        </w:rPr>
        <w:t xml:space="preserve"> - in terms of describing mechanisms for achieving development outcomes.  Less apparent is how well the upstream or applied research has contributed to (or </w:t>
      </w:r>
      <w:r>
        <w:rPr>
          <w:rFonts w:ascii="Times New Roman" w:hAnsi="Times New Roman" w:cs="Times New Roman"/>
          <w:sz w:val="24"/>
          <w:szCs w:val="24"/>
        </w:rPr>
        <w:t xml:space="preserve">been </w:t>
      </w:r>
      <w:r w:rsidRPr="00C967F1">
        <w:rPr>
          <w:rFonts w:ascii="Times New Roman" w:hAnsi="Times New Roman" w:cs="Times New Roman"/>
          <w:sz w:val="24"/>
          <w:szCs w:val="24"/>
        </w:rPr>
        <w:t>driven</w:t>
      </w:r>
      <w:r>
        <w:rPr>
          <w:rFonts w:ascii="Times New Roman" w:hAnsi="Times New Roman" w:cs="Times New Roman"/>
          <w:sz w:val="24"/>
          <w:szCs w:val="24"/>
        </w:rPr>
        <w:t xml:space="preserve"> by</w:t>
      </w:r>
      <w:r w:rsidRPr="00C967F1">
        <w:rPr>
          <w:rFonts w:ascii="Times New Roman" w:hAnsi="Times New Roman" w:cs="Times New Roman"/>
          <w:sz w:val="24"/>
          <w:szCs w:val="24"/>
        </w:rPr>
        <w:t xml:space="preserve">) the development achievements.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Also unclear is where </w:t>
      </w:r>
      <w:r>
        <w:rPr>
          <w:rFonts w:ascii="Times New Roman" w:hAnsi="Times New Roman" w:cs="Times New Roman"/>
          <w:sz w:val="24"/>
          <w:szCs w:val="24"/>
        </w:rPr>
        <w:t xml:space="preserve">the </w:t>
      </w:r>
      <w:r w:rsidRPr="00C967F1">
        <w:rPr>
          <w:rFonts w:ascii="Times New Roman" w:hAnsi="Times New Roman" w:cs="Times New Roman"/>
          <w:sz w:val="24"/>
          <w:szCs w:val="24"/>
        </w:rPr>
        <w:t xml:space="preserve">CRP’s role and activities lie within the value chains.  </w:t>
      </w:r>
      <w:r>
        <w:rPr>
          <w:rFonts w:ascii="Times New Roman" w:hAnsi="Times New Roman" w:cs="Times New Roman"/>
          <w:sz w:val="24"/>
          <w:szCs w:val="24"/>
        </w:rPr>
        <w:t xml:space="preserve">The </w:t>
      </w:r>
      <w:r w:rsidRPr="00C967F1">
        <w:rPr>
          <w:rFonts w:ascii="Times New Roman" w:hAnsi="Times New Roman" w:cs="Times New Roman"/>
          <w:sz w:val="24"/>
          <w:szCs w:val="24"/>
        </w:rPr>
        <w:t>CRP is clearly contributing to basic approaches, to data analysis and ongoing proof and choices, and to several tools that are important to value chain success.  Not fully described is the level of involvement of CRP resources in downstream take-up and application.  What is the appropriate level of such involvement?</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This line of enquiry suggests a question of how well the CRP role within the value chain collaboration (with bilateral projects, etc.) is defined or delimited.  We raise the question of whether there is risk of CRP resources being drawn into downstream development activities for which CRP has limited expertise or resources, or which, simply, should be in the purview of the development experts.  </w:t>
      </w:r>
      <w:r>
        <w:rPr>
          <w:rFonts w:ascii="Times New Roman" w:hAnsi="Times New Roman" w:cs="Times New Roman"/>
          <w:sz w:val="24"/>
          <w:szCs w:val="24"/>
        </w:rPr>
        <w:t>This is n</w:t>
      </w:r>
      <w:r w:rsidRPr="00C967F1">
        <w:rPr>
          <w:rFonts w:ascii="Times New Roman" w:hAnsi="Times New Roman" w:cs="Times New Roman"/>
          <w:sz w:val="24"/>
          <w:szCs w:val="24"/>
        </w:rPr>
        <w:t>ot to say that we see egregious missteps in this respect at this point.  We just raise this concern as a yellow flag.</w:t>
      </w:r>
    </w:p>
    <w:p w:rsidR="00E220EF"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The value chain reporting this year is revolutionary in describing the substantial, evolving themes of business models and linkages, downstream market pull, and producer/</w:t>
      </w:r>
      <w:r>
        <w:rPr>
          <w:rFonts w:ascii="Times New Roman" w:hAnsi="Times New Roman" w:cs="Times New Roman"/>
          <w:sz w:val="24"/>
          <w:szCs w:val="24"/>
        </w:rPr>
        <w:t xml:space="preserve"> </w:t>
      </w:r>
      <w:r w:rsidRPr="00C967F1">
        <w:rPr>
          <w:rFonts w:ascii="Times New Roman" w:hAnsi="Times New Roman" w:cs="Times New Roman"/>
          <w:sz w:val="24"/>
          <w:szCs w:val="24"/>
        </w:rPr>
        <w:t xml:space="preserve">association/trader linkages with larger downstream actors.  It seems that there is growing awareness </w:t>
      </w:r>
      <w:r>
        <w:rPr>
          <w:rFonts w:ascii="Times New Roman" w:hAnsi="Times New Roman" w:cs="Times New Roman"/>
          <w:sz w:val="24"/>
          <w:szCs w:val="24"/>
        </w:rPr>
        <w:t xml:space="preserve">amongst the value chain teams </w:t>
      </w:r>
      <w:r w:rsidRPr="00C967F1">
        <w:rPr>
          <w:rFonts w:ascii="Times New Roman" w:hAnsi="Times New Roman" w:cs="Times New Roman"/>
          <w:sz w:val="24"/>
          <w:szCs w:val="24"/>
        </w:rPr>
        <w:t>that local market forces are insufficient to motivate take-up of new approaches and science.  This is a normal development evolution and so is not surprising; however, its presence in the flagship and value chain dialogue is noticeably different this year.  A related question, then, is how CRP resources and staffing should be contributing to understanding and implementing these business and market themes.  If CRP should be doing so, it will need to engage experts who deeply understand them.  ILRI is establishing a strategic partnership with GIZ which is intended to focus on these areas.</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flagships </w:t>
      </w:r>
      <w:r>
        <w:rPr>
          <w:rFonts w:ascii="Times New Roman" w:hAnsi="Times New Roman" w:cs="Times New Roman"/>
          <w:sz w:val="24"/>
          <w:szCs w:val="24"/>
        </w:rPr>
        <w:t xml:space="preserve">and value chains </w:t>
      </w:r>
      <w:r w:rsidRPr="00C967F1">
        <w:rPr>
          <w:rFonts w:ascii="Times New Roman" w:hAnsi="Times New Roman" w:cs="Times New Roman"/>
          <w:sz w:val="24"/>
          <w:szCs w:val="24"/>
        </w:rPr>
        <w:t>have done a commendable (and much improved job) this year in presenting their achievements in terms of written articles and other outcomes, and of course these are substantially linked to value chain experiences.  The Egypt value chain reporting does an especially good job of linking its publication accomplishments to its value chain implementation.  It would be helpful to see a similar list of research publications corresponding to each of the value chains</w:t>
      </w:r>
      <w:r>
        <w:rPr>
          <w:rFonts w:ascii="Times New Roman" w:hAnsi="Times New Roman" w:cs="Times New Roman"/>
          <w:sz w:val="24"/>
          <w:szCs w:val="24"/>
        </w:rPr>
        <w:t>.</w:t>
      </w:r>
      <w:r w:rsidRPr="00C967F1">
        <w:rPr>
          <w:rFonts w:ascii="Times New Roman" w:hAnsi="Times New Roman" w:cs="Times New Roman"/>
          <w:sz w:val="24"/>
          <w:szCs w:val="24"/>
        </w:rPr>
        <w:t xml:space="preserve"> (</w:t>
      </w:r>
      <w:r>
        <w:rPr>
          <w:rFonts w:ascii="Times New Roman" w:hAnsi="Times New Roman" w:cs="Times New Roman"/>
          <w:sz w:val="24"/>
          <w:szCs w:val="24"/>
        </w:rPr>
        <w:t>A</w:t>
      </w:r>
      <w:r w:rsidRPr="00C967F1">
        <w:rPr>
          <w:rFonts w:ascii="Times New Roman" w:hAnsi="Times New Roman" w:cs="Times New Roman"/>
          <w:sz w:val="24"/>
          <w:szCs w:val="24"/>
        </w:rPr>
        <w:t>s noted, some have done so</w:t>
      </w:r>
      <w:r>
        <w:rPr>
          <w:rFonts w:ascii="Times New Roman" w:hAnsi="Times New Roman" w:cs="Times New Roman"/>
          <w:sz w:val="24"/>
          <w:szCs w:val="24"/>
        </w:rPr>
        <w:t>.</w:t>
      </w:r>
      <w:r w:rsidRPr="00C967F1">
        <w:rPr>
          <w:rFonts w:ascii="Times New Roman" w:hAnsi="Times New Roman" w:cs="Times New Roman"/>
          <w:sz w:val="24"/>
          <w:szCs w:val="24"/>
        </w:rPr>
        <w:t>)</w:t>
      </w:r>
    </w:p>
    <w:p w:rsidR="00E220EF" w:rsidRPr="00C967F1" w:rsidRDefault="00E220EF" w:rsidP="00E220EF">
      <w:pPr>
        <w:rPr>
          <w:rFonts w:ascii="Times New Roman" w:hAnsi="Times New Roman" w:cs="Times New Roman"/>
          <w:b/>
          <w:sz w:val="24"/>
          <w:szCs w:val="24"/>
        </w:rPr>
      </w:pPr>
      <w:r w:rsidRPr="00C967F1">
        <w:rPr>
          <w:rFonts w:ascii="Times New Roman" w:hAnsi="Times New Roman" w:cs="Times New Roman"/>
          <w:sz w:val="24"/>
          <w:szCs w:val="24"/>
        </w:rPr>
        <w:t>The VCTS written report was a rather general document, with few specifics that are helpful to understanding the CRP progress.</w:t>
      </w:r>
      <w:r w:rsidRPr="00C967F1">
        <w:rPr>
          <w:rFonts w:ascii="Times New Roman" w:hAnsi="Times New Roman" w:cs="Times New Roman"/>
          <w:b/>
          <w:sz w:val="24"/>
          <w:szCs w:val="24"/>
        </w:rPr>
        <w:t xml:space="preserve">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Two synthesis reports are being prepared that should be very informative</w:t>
      </w:r>
      <w:r>
        <w:rPr>
          <w:rFonts w:ascii="Times New Roman" w:hAnsi="Times New Roman" w:cs="Times New Roman"/>
          <w:sz w:val="24"/>
          <w:szCs w:val="24"/>
        </w:rPr>
        <w:t>.</w:t>
      </w:r>
      <w:r w:rsidRPr="00C967F1">
        <w:rPr>
          <w:rFonts w:ascii="Times New Roman" w:hAnsi="Times New Roman" w:cs="Times New Roman"/>
          <w:sz w:val="24"/>
          <w:szCs w:val="24"/>
        </w:rPr>
        <w:t xml:space="preserve"> (</w:t>
      </w:r>
      <w:r>
        <w:rPr>
          <w:rFonts w:ascii="Times New Roman" w:hAnsi="Times New Roman" w:cs="Times New Roman"/>
          <w:sz w:val="24"/>
          <w:szCs w:val="24"/>
        </w:rPr>
        <w:t>T</w:t>
      </w:r>
      <w:r w:rsidRPr="00C967F1">
        <w:rPr>
          <w:rFonts w:ascii="Times New Roman" w:hAnsi="Times New Roman" w:cs="Times New Roman"/>
          <w:sz w:val="24"/>
          <w:szCs w:val="24"/>
        </w:rPr>
        <w:t>he process of preparing these reports was said to be extremely useful in terms of sharing ideas and developing collaboration amongst flagship and value chain interests.</w:t>
      </w:r>
      <w:r>
        <w:rPr>
          <w:rFonts w:ascii="Times New Roman" w:hAnsi="Times New Roman" w:cs="Times New Roman"/>
          <w:sz w:val="24"/>
          <w:szCs w:val="24"/>
        </w:rPr>
        <w:t>)</w:t>
      </w:r>
      <w:r w:rsidRPr="00C967F1">
        <w:rPr>
          <w:rFonts w:ascii="Times New Roman" w:hAnsi="Times New Roman" w:cs="Times New Roman"/>
          <w:sz w:val="24"/>
          <w:szCs w:val="24"/>
        </w:rPr>
        <w:t xml:space="preserve"> The topics are:</w:t>
      </w:r>
    </w:p>
    <w:p w:rsidR="00E220EF" w:rsidRPr="00C967F1" w:rsidRDefault="00E220EF" w:rsidP="00E220EF">
      <w:pPr>
        <w:pStyle w:val="ListParagraph"/>
        <w:numPr>
          <w:ilvl w:val="0"/>
          <w:numId w:val="17"/>
        </w:numPr>
        <w:spacing w:after="160" w:line="259" w:lineRule="auto"/>
        <w:rPr>
          <w:rFonts w:ascii="Times New Roman" w:eastAsia="Times New Roman" w:hAnsi="Times New Roman"/>
          <w:color w:val="000000" w:themeColor="text1"/>
          <w:sz w:val="24"/>
          <w:szCs w:val="24"/>
        </w:rPr>
      </w:pPr>
      <w:r w:rsidRPr="00C967F1">
        <w:rPr>
          <w:rFonts w:ascii="Times New Roman" w:eastAsia="Times New Roman" w:hAnsi="Times New Roman"/>
          <w:color w:val="000000" w:themeColor="text1"/>
          <w:sz w:val="24"/>
          <w:szCs w:val="24"/>
        </w:rPr>
        <w:t xml:space="preserve">‘Taking </w:t>
      </w:r>
      <w:r>
        <w:rPr>
          <w:rFonts w:ascii="Times New Roman" w:eastAsia="Times New Roman" w:hAnsi="Times New Roman"/>
          <w:color w:val="000000" w:themeColor="text1"/>
          <w:sz w:val="24"/>
          <w:szCs w:val="24"/>
        </w:rPr>
        <w:t>S</w:t>
      </w:r>
      <w:r w:rsidRPr="00C967F1">
        <w:rPr>
          <w:rFonts w:ascii="Times New Roman" w:eastAsia="Times New Roman" w:hAnsi="Times New Roman"/>
          <w:color w:val="000000" w:themeColor="text1"/>
          <w:sz w:val="24"/>
          <w:szCs w:val="24"/>
        </w:rPr>
        <w:t>tock of Livestock &amp; Fish experience with value chain transformation: an interdisciplinary process’ (led by An Notenbaert)</w:t>
      </w:r>
    </w:p>
    <w:p w:rsidR="00E220EF" w:rsidRPr="00C967F1" w:rsidRDefault="00E220EF" w:rsidP="00E220EF">
      <w:pPr>
        <w:pStyle w:val="ListParagraph"/>
        <w:numPr>
          <w:ilvl w:val="0"/>
          <w:numId w:val="17"/>
        </w:numPr>
        <w:spacing w:after="160" w:line="259" w:lineRule="auto"/>
        <w:rPr>
          <w:rFonts w:ascii="Times New Roman" w:eastAsia="Times New Roman" w:hAnsi="Times New Roman"/>
          <w:color w:val="000000" w:themeColor="text1"/>
          <w:sz w:val="24"/>
          <w:szCs w:val="24"/>
        </w:rPr>
      </w:pPr>
      <w:r w:rsidRPr="00C967F1">
        <w:rPr>
          <w:rFonts w:ascii="Times New Roman" w:eastAsia="Times New Roman" w:hAnsi="Times New Roman"/>
          <w:color w:val="000000" w:themeColor="text1"/>
          <w:sz w:val="24"/>
          <w:szCs w:val="24"/>
        </w:rPr>
        <w:t xml:space="preserve">‘Institutional arrangements in facilitating improved performance of livestock and aquaculture value chains’ (led by Isabelle Baltenweck) </w:t>
      </w:r>
    </w:p>
    <w:p w:rsidR="00E220EF"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Frequently noted, progress and success in the value chains was very much a function of the availability of sound bilateral and other partnerships, providing a substantial programmatic framework and resources for development.  Tanzania, Egypt and Ethiopia are strong in this respect.  Other country value chain initiatives were able to take advantage of established legacy work to make progress (</w:t>
      </w:r>
      <w:r>
        <w:rPr>
          <w:rFonts w:ascii="Times New Roman" w:hAnsi="Times New Roman" w:cs="Times New Roman"/>
          <w:sz w:val="24"/>
          <w:szCs w:val="24"/>
        </w:rPr>
        <w:t xml:space="preserve">e.g. </w:t>
      </w:r>
      <w:r w:rsidRPr="00C967F1">
        <w:rPr>
          <w:rFonts w:ascii="Times New Roman" w:hAnsi="Times New Roman" w:cs="Times New Roman"/>
          <w:sz w:val="24"/>
          <w:szCs w:val="24"/>
        </w:rPr>
        <w:t xml:space="preserve">Bangladesh, Egypt).  The Vietnam value chain has struggled with its lack of bilateral collaboration.   Egypt, Ethiopia, Bangladesh, Nicaragua, Tanzania and Uganda stood out in terms of the depth of their reporting, and in their data collection, analysis, use of tools </w:t>
      </w:r>
      <w:r>
        <w:rPr>
          <w:rFonts w:ascii="Times New Roman" w:hAnsi="Times New Roman" w:cs="Times New Roman"/>
          <w:sz w:val="24"/>
          <w:szCs w:val="24"/>
        </w:rPr>
        <w:t xml:space="preserve">and </w:t>
      </w:r>
      <w:r w:rsidRPr="00C967F1">
        <w:rPr>
          <w:rFonts w:ascii="Times New Roman" w:hAnsi="Times New Roman" w:cs="Times New Roman"/>
          <w:sz w:val="24"/>
          <w:szCs w:val="24"/>
        </w:rPr>
        <w:t>linkages with flagships.  Some initiatives (e.g. Uganda) seem to have had success in attracting new funding, even if initial funding base was low.</w:t>
      </w:r>
      <w:r>
        <w:rPr>
          <w:rFonts w:ascii="Times New Roman" w:hAnsi="Times New Roman" w:cs="Times New Roman"/>
          <w:sz w:val="24"/>
          <w:szCs w:val="24"/>
        </w:rPr>
        <w:t xml:space="preserve">  </w:t>
      </w:r>
      <w:r w:rsidRPr="00C967F1">
        <w:rPr>
          <w:rFonts w:ascii="Times New Roman" w:hAnsi="Times New Roman" w:cs="Times New Roman"/>
          <w:sz w:val="24"/>
          <w:szCs w:val="24"/>
        </w:rPr>
        <w:t>Nicaragua was new to SPAC, as it had not been substantially reported on before this year.  CRP’s research contributions in Nicaragua were unclear.</w:t>
      </w:r>
    </w:p>
    <w:p w:rsidR="00E220EF" w:rsidRDefault="00E220EF" w:rsidP="00E220EF">
      <w:pPr>
        <w:rPr>
          <w:rFonts w:ascii="Times New Roman" w:hAnsi="Times New Roman" w:cs="Times New Roman"/>
          <w:b/>
          <w:sz w:val="24"/>
          <w:szCs w:val="24"/>
        </w:rPr>
      </w:pPr>
    </w:p>
    <w:p w:rsidR="00E220EF" w:rsidRPr="00146D64" w:rsidRDefault="00E220EF" w:rsidP="00E220EF">
      <w:pPr>
        <w:rPr>
          <w:rFonts w:ascii="Times New Roman" w:hAnsi="Times New Roman" w:cs="Times New Roman"/>
          <w:sz w:val="24"/>
          <w:szCs w:val="24"/>
        </w:rPr>
      </w:pPr>
      <w:r>
        <w:rPr>
          <w:rFonts w:ascii="Times New Roman" w:hAnsi="Times New Roman" w:cs="Times New Roman"/>
          <w:b/>
          <w:sz w:val="24"/>
          <w:szCs w:val="24"/>
        </w:rPr>
        <w:t>Gender Issues in the Flagships</w:t>
      </w:r>
    </w:p>
    <w:p w:rsidR="00E220EF" w:rsidRPr="00146D64" w:rsidRDefault="00E220EF" w:rsidP="00E220EF">
      <w:pPr>
        <w:rPr>
          <w:rFonts w:ascii="Times New Roman" w:hAnsi="Times New Roman" w:cs="Times New Roman"/>
          <w:sz w:val="24"/>
          <w:szCs w:val="24"/>
        </w:rPr>
      </w:pPr>
      <w:r w:rsidRPr="00146D64">
        <w:rPr>
          <w:rFonts w:ascii="Times New Roman" w:hAnsi="Times New Roman" w:cs="Times New Roman"/>
          <w:sz w:val="24"/>
          <w:szCs w:val="24"/>
        </w:rPr>
        <w:t xml:space="preserve">Comments on each of the flagships relative </w:t>
      </w:r>
      <w:r>
        <w:rPr>
          <w:rFonts w:ascii="Times New Roman" w:hAnsi="Times New Roman" w:cs="Times New Roman"/>
          <w:sz w:val="24"/>
          <w:szCs w:val="24"/>
        </w:rPr>
        <w:t xml:space="preserve">to </w:t>
      </w:r>
      <w:r w:rsidRPr="00146D64">
        <w:rPr>
          <w:rFonts w:ascii="Times New Roman" w:hAnsi="Times New Roman" w:cs="Times New Roman"/>
          <w:sz w:val="24"/>
          <w:szCs w:val="24"/>
        </w:rPr>
        <w:t>gender are discussed below.</w:t>
      </w:r>
    </w:p>
    <w:p w:rsidR="00E220EF" w:rsidRPr="003A6278" w:rsidRDefault="00E220EF" w:rsidP="00E220EF">
      <w:pPr>
        <w:ind w:left="360"/>
        <w:rPr>
          <w:rFonts w:ascii="Times New Roman" w:hAnsi="Times New Roman" w:cs="Times New Roman"/>
          <w:b/>
          <w:sz w:val="24"/>
          <w:szCs w:val="24"/>
        </w:rPr>
      </w:pPr>
      <w:r>
        <w:rPr>
          <w:rFonts w:ascii="Times New Roman" w:hAnsi="Times New Roman" w:cs="Times New Roman"/>
          <w:b/>
          <w:bCs/>
          <w:sz w:val="24"/>
          <w:szCs w:val="24"/>
        </w:rPr>
        <w:t xml:space="preserve">Animal Health: </w:t>
      </w:r>
      <w:r w:rsidRPr="003066B7">
        <w:rPr>
          <w:rFonts w:ascii="Times New Roman" w:hAnsi="Times New Roman" w:cs="Times New Roman"/>
          <w:bCs/>
          <w:sz w:val="24"/>
          <w:szCs w:val="24"/>
        </w:rPr>
        <w:t>The SPAC noted that m</w:t>
      </w:r>
      <w:r w:rsidRPr="00153EEC">
        <w:rPr>
          <w:rFonts w:ascii="Times New Roman" w:hAnsi="Times New Roman" w:cs="Times New Roman"/>
          <w:sz w:val="24"/>
          <w:szCs w:val="24"/>
        </w:rPr>
        <w:t>ore</w:t>
      </w:r>
      <w:r w:rsidRPr="003A6278">
        <w:rPr>
          <w:rFonts w:ascii="Times New Roman" w:hAnsi="Times New Roman" w:cs="Times New Roman"/>
          <w:sz w:val="24"/>
          <w:szCs w:val="24"/>
        </w:rPr>
        <w:t xml:space="preserve"> gender </w:t>
      </w:r>
      <w:r>
        <w:rPr>
          <w:rFonts w:ascii="Times New Roman" w:hAnsi="Times New Roman" w:cs="Times New Roman"/>
          <w:sz w:val="24"/>
          <w:szCs w:val="24"/>
        </w:rPr>
        <w:t>and</w:t>
      </w:r>
      <w:r w:rsidRPr="003A6278">
        <w:rPr>
          <w:rFonts w:ascii="Times New Roman" w:hAnsi="Times New Roman" w:cs="Times New Roman"/>
          <w:sz w:val="24"/>
          <w:szCs w:val="24"/>
        </w:rPr>
        <w:t xml:space="preserve"> social science integration </w:t>
      </w:r>
      <w:r>
        <w:rPr>
          <w:rFonts w:ascii="Times New Roman" w:hAnsi="Times New Roman" w:cs="Times New Roman"/>
          <w:sz w:val="24"/>
          <w:szCs w:val="24"/>
        </w:rPr>
        <w:t xml:space="preserve">was </w:t>
      </w:r>
      <w:r w:rsidRPr="003A6278">
        <w:rPr>
          <w:rFonts w:ascii="Times New Roman" w:hAnsi="Times New Roman" w:cs="Times New Roman"/>
          <w:sz w:val="24"/>
          <w:szCs w:val="24"/>
        </w:rPr>
        <w:t>seen</w:t>
      </w:r>
      <w:r>
        <w:rPr>
          <w:rFonts w:ascii="Times New Roman" w:hAnsi="Times New Roman" w:cs="Times New Roman"/>
          <w:sz w:val="24"/>
          <w:szCs w:val="24"/>
        </w:rPr>
        <w:t>,</w:t>
      </w:r>
      <w:r w:rsidRPr="003A6278">
        <w:rPr>
          <w:rFonts w:ascii="Times New Roman" w:hAnsi="Times New Roman" w:cs="Times New Roman"/>
          <w:sz w:val="24"/>
          <w:szCs w:val="24"/>
        </w:rPr>
        <w:t xml:space="preserve"> especially in </w:t>
      </w:r>
      <w:r>
        <w:rPr>
          <w:rFonts w:ascii="Times New Roman" w:hAnsi="Times New Roman" w:cs="Times New Roman"/>
          <w:sz w:val="24"/>
          <w:szCs w:val="24"/>
        </w:rPr>
        <w:t>C</w:t>
      </w:r>
      <w:r w:rsidRPr="003A6278">
        <w:rPr>
          <w:rFonts w:ascii="Times New Roman" w:hAnsi="Times New Roman" w:cs="Times New Roman"/>
          <w:sz w:val="24"/>
          <w:szCs w:val="24"/>
        </w:rPr>
        <w:t>luster</w:t>
      </w:r>
      <w:r>
        <w:rPr>
          <w:rFonts w:ascii="Times New Roman" w:hAnsi="Times New Roman" w:cs="Times New Roman"/>
          <w:sz w:val="24"/>
          <w:szCs w:val="24"/>
        </w:rPr>
        <w:t>s</w:t>
      </w:r>
      <w:r w:rsidRPr="003A6278">
        <w:rPr>
          <w:rFonts w:ascii="Times New Roman" w:hAnsi="Times New Roman" w:cs="Times New Roman"/>
          <w:sz w:val="24"/>
          <w:szCs w:val="24"/>
        </w:rPr>
        <w:t xml:space="preserve"> 1 and 2</w:t>
      </w:r>
      <w:r>
        <w:rPr>
          <w:rFonts w:ascii="Times New Roman" w:hAnsi="Times New Roman" w:cs="Times New Roman"/>
          <w:sz w:val="24"/>
          <w:szCs w:val="24"/>
        </w:rPr>
        <w:t>,</w:t>
      </w:r>
      <w:r w:rsidRPr="003A6278">
        <w:rPr>
          <w:rFonts w:ascii="Times New Roman" w:hAnsi="Times New Roman" w:cs="Times New Roman"/>
          <w:sz w:val="24"/>
          <w:szCs w:val="24"/>
        </w:rPr>
        <w:t xml:space="preserve"> from field implementation, analysis (knowledge attitude and practices of farmers) and publications</w:t>
      </w:r>
      <w:r>
        <w:rPr>
          <w:rFonts w:ascii="Times New Roman" w:hAnsi="Times New Roman" w:cs="Times New Roman"/>
          <w:sz w:val="24"/>
          <w:szCs w:val="24"/>
        </w:rPr>
        <w:t xml:space="preserve">.  This was </w:t>
      </w:r>
      <w:r w:rsidRPr="003A6278">
        <w:rPr>
          <w:rFonts w:ascii="Times New Roman" w:hAnsi="Times New Roman" w:cs="Times New Roman"/>
          <w:sz w:val="24"/>
          <w:szCs w:val="24"/>
        </w:rPr>
        <w:t>mostly from work in Ethiopia</w:t>
      </w:r>
      <w:r>
        <w:rPr>
          <w:rFonts w:ascii="Times New Roman" w:hAnsi="Times New Roman" w:cs="Times New Roman"/>
          <w:sz w:val="24"/>
          <w:szCs w:val="24"/>
        </w:rPr>
        <w:t>.</w:t>
      </w:r>
      <w:r w:rsidRPr="003A6278">
        <w:rPr>
          <w:rFonts w:ascii="Times New Roman" w:hAnsi="Times New Roman" w:cs="Times New Roman"/>
          <w:sz w:val="24"/>
          <w:szCs w:val="24"/>
        </w:rPr>
        <w:t xml:space="preserve"> </w:t>
      </w:r>
      <w:r>
        <w:rPr>
          <w:rFonts w:ascii="Times New Roman" w:hAnsi="Times New Roman" w:cs="Times New Roman"/>
          <w:sz w:val="24"/>
          <w:szCs w:val="24"/>
        </w:rPr>
        <w:t>There was under-reporting of gender work,</w:t>
      </w:r>
      <w:r w:rsidRPr="003A6278">
        <w:rPr>
          <w:rFonts w:ascii="Times New Roman" w:hAnsi="Times New Roman" w:cs="Times New Roman"/>
          <w:sz w:val="24"/>
          <w:szCs w:val="24"/>
        </w:rPr>
        <w:t xml:space="preserve"> especially </w:t>
      </w:r>
      <w:r>
        <w:rPr>
          <w:rFonts w:ascii="Times New Roman" w:hAnsi="Times New Roman" w:cs="Times New Roman"/>
          <w:sz w:val="24"/>
          <w:szCs w:val="24"/>
        </w:rPr>
        <w:t>from</w:t>
      </w:r>
      <w:r w:rsidRPr="003A6278">
        <w:rPr>
          <w:rFonts w:ascii="Times New Roman" w:hAnsi="Times New Roman" w:cs="Times New Roman"/>
          <w:sz w:val="24"/>
          <w:szCs w:val="24"/>
        </w:rPr>
        <w:t xml:space="preserve"> Uganda and </w:t>
      </w:r>
      <w:r w:rsidRPr="003066B7">
        <w:rPr>
          <w:rFonts w:ascii="Times New Roman" w:hAnsi="Times New Roman" w:cs="Times New Roman"/>
          <w:sz w:val="24"/>
          <w:szCs w:val="24"/>
        </w:rPr>
        <w:t>Tanzania.</w:t>
      </w:r>
      <w:r w:rsidRPr="003066B7">
        <w:rPr>
          <w:rFonts w:ascii="Times New Roman" w:hAnsi="Times New Roman" w:cs="Times New Roman"/>
          <w:iCs/>
          <w:sz w:val="24"/>
          <w:szCs w:val="24"/>
        </w:rPr>
        <w:t> </w:t>
      </w:r>
      <w:r>
        <w:rPr>
          <w:rFonts w:ascii="Times New Roman" w:hAnsi="Times New Roman" w:cs="Times New Roman"/>
          <w:iCs/>
          <w:sz w:val="24"/>
          <w:szCs w:val="24"/>
        </w:rPr>
        <w:t xml:space="preserve"> SPAC recommends</w:t>
      </w:r>
      <w:r w:rsidRPr="003A6278">
        <w:rPr>
          <w:rFonts w:ascii="Times New Roman" w:hAnsi="Times New Roman" w:cs="Times New Roman"/>
          <w:bCs/>
          <w:iCs/>
          <w:sz w:val="24"/>
          <w:szCs w:val="24"/>
        </w:rPr>
        <w:t xml:space="preserve"> better focus </w:t>
      </w:r>
      <w:r>
        <w:rPr>
          <w:rFonts w:ascii="Times New Roman" w:hAnsi="Times New Roman" w:cs="Times New Roman"/>
          <w:bCs/>
          <w:iCs/>
          <w:sz w:val="24"/>
          <w:szCs w:val="24"/>
        </w:rPr>
        <w:t xml:space="preserve">on </w:t>
      </w:r>
      <w:r w:rsidRPr="003A6278">
        <w:rPr>
          <w:rFonts w:ascii="Times New Roman" w:hAnsi="Times New Roman" w:cs="Times New Roman"/>
          <w:bCs/>
          <w:iCs/>
          <w:sz w:val="24"/>
          <w:szCs w:val="24"/>
        </w:rPr>
        <w:t>gender data analysis and reporting going forward</w:t>
      </w:r>
      <w:r>
        <w:rPr>
          <w:rFonts w:ascii="Times New Roman" w:hAnsi="Times New Roman" w:cs="Times New Roman"/>
          <w:bCs/>
          <w:iCs/>
          <w:sz w:val="24"/>
          <w:szCs w:val="24"/>
        </w:rPr>
        <w:t xml:space="preserve">, </w:t>
      </w:r>
      <w:r w:rsidRPr="003A6278">
        <w:rPr>
          <w:rFonts w:ascii="Times New Roman" w:hAnsi="Times New Roman" w:cs="Times New Roman"/>
          <w:bCs/>
          <w:iCs/>
          <w:sz w:val="24"/>
          <w:szCs w:val="24"/>
        </w:rPr>
        <w:t>and having that capacity in</w:t>
      </w:r>
      <w:r>
        <w:rPr>
          <w:rFonts w:ascii="Times New Roman" w:hAnsi="Times New Roman" w:cs="Times New Roman"/>
          <w:bCs/>
          <w:iCs/>
          <w:sz w:val="24"/>
          <w:szCs w:val="24"/>
        </w:rPr>
        <w:t>,</w:t>
      </w:r>
      <w:r w:rsidRPr="003A6278">
        <w:rPr>
          <w:rFonts w:ascii="Times New Roman" w:hAnsi="Times New Roman" w:cs="Times New Roman"/>
          <w:bCs/>
          <w:iCs/>
          <w:sz w:val="24"/>
          <w:szCs w:val="24"/>
        </w:rPr>
        <w:t xml:space="preserve"> or partnering with organizations that can bring that expertise or with VC</w:t>
      </w:r>
      <w:r>
        <w:rPr>
          <w:rFonts w:ascii="Times New Roman" w:hAnsi="Times New Roman" w:cs="Times New Roman"/>
          <w:bCs/>
          <w:iCs/>
          <w:sz w:val="24"/>
          <w:szCs w:val="24"/>
        </w:rPr>
        <w:t>TS</w:t>
      </w:r>
      <w:r w:rsidRPr="003A6278">
        <w:rPr>
          <w:rFonts w:ascii="Times New Roman" w:hAnsi="Times New Roman" w:cs="Times New Roman"/>
          <w:bCs/>
          <w:iCs/>
          <w:sz w:val="24"/>
          <w:szCs w:val="24"/>
        </w:rPr>
        <w:t xml:space="preserve"> and SASI</w:t>
      </w:r>
      <w:r>
        <w:rPr>
          <w:rFonts w:ascii="Times New Roman" w:hAnsi="Times New Roman" w:cs="Times New Roman"/>
          <w:bCs/>
          <w:iCs/>
          <w:sz w:val="24"/>
          <w:szCs w:val="24"/>
        </w:rPr>
        <w:t xml:space="preserve">. </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Genetics and Breeding: </w:t>
      </w:r>
      <w:r w:rsidRPr="003A6278">
        <w:rPr>
          <w:rFonts w:ascii="Times New Roman" w:hAnsi="Times New Roman" w:cs="Times New Roman"/>
          <w:sz w:val="24"/>
          <w:szCs w:val="24"/>
        </w:rPr>
        <w:t>Very clear reporting overall</w:t>
      </w:r>
      <w:r>
        <w:rPr>
          <w:rFonts w:ascii="Times New Roman" w:hAnsi="Times New Roman" w:cs="Times New Roman"/>
          <w:sz w:val="24"/>
          <w:szCs w:val="24"/>
        </w:rPr>
        <w:t xml:space="preserve"> was noted</w:t>
      </w:r>
      <w:r w:rsidRPr="003A6278">
        <w:rPr>
          <w:rFonts w:ascii="Times New Roman" w:hAnsi="Times New Roman" w:cs="Times New Roman"/>
          <w:sz w:val="24"/>
          <w:szCs w:val="24"/>
        </w:rPr>
        <w:t xml:space="preserve">. </w:t>
      </w:r>
      <w:r>
        <w:rPr>
          <w:rFonts w:ascii="Times New Roman" w:hAnsi="Times New Roman" w:cs="Times New Roman"/>
          <w:sz w:val="24"/>
          <w:szCs w:val="24"/>
        </w:rPr>
        <w:t>The reporting began</w:t>
      </w:r>
      <w:r w:rsidRPr="003A6278">
        <w:rPr>
          <w:rFonts w:ascii="Times New Roman" w:hAnsi="Times New Roman" w:cs="Times New Roman"/>
          <w:sz w:val="24"/>
          <w:szCs w:val="24"/>
        </w:rPr>
        <w:t xml:space="preserve"> by identifying </w:t>
      </w:r>
      <w:r w:rsidRPr="003A6278">
        <w:rPr>
          <w:rFonts w:ascii="Times New Roman" w:hAnsi="Times New Roman" w:cs="Times New Roman"/>
          <w:i/>
          <w:iCs/>
          <w:sz w:val="24"/>
          <w:szCs w:val="24"/>
        </w:rPr>
        <w:t>men and women</w:t>
      </w:r>
      <w:r w:rsidRPr="003A6278">
        <w:rPr>
          <w:rFonts w:ascii="Times New Roman" w:hAnsi="Times New Roman" w:cs="Times New Roman"/>
          <w:sz w:val="24"/>
          <w:szCs w:val="24"/>
        </w:rPr>
        <w:t xml:space="preserve"> clearly as beneficiaries of this work and identifie</w:t>
      </w:r>
      <w:r>
        <w:rPr>
          <w:rFonts w:ascii="Times New Roman" w:hAnsi="Times New Roman" w:cs="Times New Roman"/>
          <w:sz w:val="24"/>
          <w:szCs w:val="24"/>
        </w:rPr>
        <w:t>d</w:t>
      </w:r>
      <w:r w:rsidRPr="003A6278">
        <w:rPr>
          <w:rFonts w:ascii="Times New Roman" w:hAnsi="Times New Roman" w:cs="Times New Roman"/>
          <w:sz w:val="24"/>
          <w:szCs w:val="24"/>
        </w:rPr>
        <w:t xml:space="preserve"> roles of key players in the value chain and especially consider</w:t>
      </w:r>
      <w:r>
        <w:rPr>
          <w:rFonts w:ascii="Times New Roman" w:hAnsi="Times New Roman" w:cs="Times New Roman"/>
          <w:sz w:val="24"/>
          <w:szCs w:val="24"/>
        </w:rPr>
        <w:t>ed</w:t>
      </w:r>
      <w:r w:rsidRPr="003A6278">
        <w:rPr>
          <w:rFonts w:ascii="Times New Roman" w:hAnsi="Times New Roman" w:cs="Times New Roman"/>
          <w:sz w:val="24"/>
          <w:szCs w:val="24"/>
        </w:rPr>
        <w:t xml:space="preserve"> consumers as key to their activities and </w:t>
      </w:r>
      <w:r>
        <w:rPr>
          <w:rFonts w:ascii="Times New Roman" w:hAnsi="Times New Roman" w:cs="Times New Roman"/>
          <w:sz w:val="24"/>
          <w:szCs w:val="24"/>
        </w:rPr>
        <w:t xml:space="preserve">this was </w:t>
      </w:r>
      <w:r w:rsidRPr="003A6278">
        <w:rPr>
          <w:rFonts w:ascii="Times New Roman" w:hAnsi="Times New Roman" w:cs="Times New Roman"/>
          <w:sz w:val="24"/>
          <w:szCs w:val="24"/>
        </w:rPr>
        <w:t>carrie</w:t>
      </w:r>
      <w:r>
        <w:rPr>
          <w:rFonts w:ascii="Times New Roman" w:hAnsi="Times New Roman" w:cs="Times New Roman"/>
          <w:sz w:val="24"/>
          <w:szCs w:val="24"/>
        </w:rPr>
        <w:t>d out</w:t>
      </w:r>
      <w:r w:rsidRPr="003A6278">
        <w:rPr>
          <w:rFonts w:ascii="Times New Roman" w:hAnsi="Times New Roman" w:cs="Times New Roman"/>
          <w:sz w:val="24"/>
          <w:szCs w:val="24"/>
        </w:rPr>
        <w:t xml:space="preserve"> through the entire report. </w:t>
      </w:r>
      <w:r>
        <w:rPr>
          <w:rFonts w:ascii="Times New Roman" w:hAnsi="Times New Roman" w:cs="Times New Roman"/>
          <w:sz w:val="24"/>
          <w:szCs w:val="24"/>
        </w:rPr>
        <w:t>P</w:t>
      </w:r>
      <w:r w:rsidRPr="003A6278">
        <w:rPr>
          <w:rFonts w:ascii="Times New Roman" w:hAnsi="Times New Roman" w:cs="Times New Roman"/>
          <w:sz w:val="24"/>
          <w:szCs w:val="24"/>
        </w:rPr>
        <w:t>artnerships with VCT</w:t>
      </w:r>
      <w:r>
        <w:rPr>
          <w:rFonts w:ascii="Times New Roman" w:hAnsi="Times New Roman" w:cs="Times New Roman"/>
          <w:sz w:val="24"/>
          <w:szCs w:val="24"/>
        </w:rPr>
        <w:t>S</w:t>
      </w:r>
      <w:r w:rsidRPr="003A6278">
        <w:rPr>
          <w:rFonts w:ascii="Times New Roman" w:hAnsi="Times New Roman" w:cs="Times New Roman"/>
          <w:sz w:val="24"/>
          <w:szCs w:val="24"/>
        </w:rPr>
        <w:t xml:space="preserve"> and SASI</w:t>
      </w:r>
      <w:r>
        <w:rPr>
          <w:rFonts w:ascii="Times New Roman" w:hAnsi="Times New Roman" w:cs="Times New Roman"/>
          <w:sz w:val="24"/>
          <w:szCs w:val="24"/>
        </w:rPr>
        <w:t>,</w:t>
      </w:r>
      <w:r w:rsidRPr="003A6278">
        <w:rPr>
          <w:rFonts w:ascii="Times New Roman" w:hAnsi="Times New Roman" w:cs="Times New Roman"/>
          <w:sz w:val="24"/>
          <w:szCs w:val="24"/>
        </w:rPr>
        <w:t xml:space="preserve"> as well as the role of research for development in understanding </w:t>
      </w:r>
      <w:r>
        <w:rPr>
          <w:rFonts w:ascii="Times New Roman" w:hAnsi="Times New Roman" w:cs="Times New Roman"/>
          <w:sz w:val="24"/>
          <w:szCs w:val="24"/>
        </w:rPr>
        <w:t>I</w:t>
      </w:r>
      <w:r w:rsidRPr="003A6278">
        <w:rPr>
          <w:rFonts w:ascii="Times New Roman" w:hAnsi="Times New Roman" w:cs="Times New Roman"/>
          <w:sz w:val="24"/>
          <w:szCs w:val="24"/>
        </w:rPr>
        <w:t>mpact Pathways</w:t>
      </w:r>
      <w:r>
        <w:rPr>
          <w:rFonts w:ascii="Times New Roman" w:hAnsi="Times New Roman" w:cs="Times New Roman"/>
          <w:sz w:val="24"/>
          <w:szCs w:val="24"/>
        </w:rPr>
        <w:t>, were outlined as well as a c</w:t>
      </w:r>
      <w:r w:rsidRPr="003A6278">
        <w:rPr>
          <w:rFonts w:ascii="Times New Roman" w:hAnsi="Times New Roman" w:cs="Times New Roman"/>
          <w:sz w:val="24"/>
          <w:szCs w:val="24"/>
        </w:rPr>
        <w:t>lear focus of gender and role of gender scientists and that of different types of partners and their value-add.</w:t>
      </w:r>
      <w:r>
        <w:rPr>
          <w:rFonts w:ascii="Times New Roman" w:hAnsi="Times New Roman" w:cs="Times New Roman"/>
          <w:sz w:val="24"/>
          <w:szCs w:val="24"/>
        </w:rPr>
        <w:t xml:space="preserve"> There was a </w:t>
      </w:r>
      <w:r w:rsidRPr="003A6278">
        <w:rPr>
          <w:rFonts w:ascii="Times New Roman" w:hAnsi="Times New Roman" w:cs="Times New Roman"/>
          <w:sz w:val="24"/>
          <w:szCs w:val="24"/>
        </w:rPr>
        <w:t xml:space="preserve">lot of evidence of gendered data collection and participatory implementation, analysis and reporting and publication in </w:t>
      </w:r>
      <w:r>
        <w:rPr>
          <w:rFonts w:ascii="Times New Roman" w:hAnsi="Times New Roman" w:cs="Times New Roman"/>
          <w:sz w:val="24"/>
          <w:szCs w:val="24"/>
        </w:rPr>
        <w:t xml:space="preserve">the </w:t>
      </w:r>
      <w:r w:rsidRPr="003A6278">
        <w:rPr>
          <w:rFonts w:ascii="Times New Roman" w:hAnsi="Times New Roman" w:cs="Times New Roman"/>
          <w:sz w:val="24"/>
          <w:szCs w:val="24"/>
        </w:rPr>
        <w:t xml:space="preserve">Vietnam work under </w:t>
      </w:r>
      <w:r>
        <w:rPr>
          <w:rFonts w:ascii="Times New Roman" w:hAnsi="Times New Roman" w:cs="Times New Roman"/>
          <w:sz w:val="24"/>
          <w:szCs w:val="24"/>
        </w:rPr>
        <w:t>C</w:t>
      </w:r>
      <w:r w:rsidRPr="003A6278">
        <w:rPr>
          <w:rFonts w:ascii="Times New Roman" w:hAnsi="Times New Roman" w:cs="Times New Roman"/>
          <w:sz w:val="24"/>
          <w:szCs w:val="24"/>
        </w:rPr>
        <w:t xml:space="preserve">lusters 1, 2 </w:t>
      </w:r>
      <w:r>
        <w:rPr>
          <w:rFonts w:ascii="Times New Roman" w:hAnsi="Times New Roman" w:cs="Times New Roman"/>
          <w:sz w:val="24"/>
          <w:szCs w:val="24"/>
        </w:rPr>
        <w:t>and</w:t>
      </w:r>
      <w:r w:rsidRPr="003A6278">
        <w:rPr>
          <w:rFonts w:ascii="Times New Roman" w:hAnsi="Times New Roman" w:cs="Times New Roman"/>
          <w:sz w:val="24"/>
          <w:szCs w:val="24"/>
        </w:rPr>
        <w:t xml:space="preserve"> 3</w:t>
      </w:r>
      <w:r>
        <w:rPr>
          <w:rFonts w:ascii="Times New Roman" w:hAnsi="Times New Roman" w:cs="Times New Roman"/>
          <w:sz w:val="24"/>
          <w:szCs w:val="24"/>
        </w:rPr>
        <w:t xml:space="preserve">, including </w:t>
      </w:r>
      <w:r w:rsidRPr="003A6278">
        <w:rPr>
          <w:rFonts w:ascii="Times New Roman" w:hAnsi="Times New Roman" w:cs="Times New Roman"/>
          <w:sz w:val="24"/>
          <w:szCs w:val="24"/>
        </w:rPr>
        <w:t xml:space="preserve">a very important dimension on Institutional Gender </w:t>
      </w:r>
      <w:r>
        <w:rPr>
          <w:rFonts w:ascii="Times New Roman" w:hAnsi="Times New Roman" w:cs="Times New Roman"/>
          <w:sz w:val="24"/>
          <w:szCs w:val="24"/>
        </w:rPr>
        <w:t>I</w:t>
      </w:r>
      <w:r w:rsidRPr="003A6278">
        <w:rPr>
          <w:rFonts w:ascii="Times New Roman" w:hAnsi="Times New Roman" w:cs="Times New Roman"/>
          <w:sz w:val="24"/>
          <w:szCs w:val="24"/>
        </w:rPr>
        <w:t>ntegration in mainstreaming</w:t>
      </w:r>
      <w:r>
        <w:rPr>
          <w:rFonts w:ascii="Times New Roman" w:hAnsi="Times New Roman" w:cs="Times New Roman"/>
          <w:sz w:val="24"/>
          <w:szCs w:val="24"/>
        </w:rPr>
        <w:t xml:space="preserve"> </w:t>
      </w:r>
      <w:r w:rsidRPr="003A6278">
        <w:rPr>
          <w:rFonts w:ascii="Times New Roman" w:hAnsi="Times New Roman" w:cs="Times New Roman"/>
          <w:sz w:val="24"/>
          <w:szCs w:val="24"/>
        </w:rPr>
        <w:t>- staff, enumerators and trainees.</w:t>
      </w:r>
      <w:r>
        <w:rPr>
          <w:rFonts w:ascii="Times New Roman" w:hAnsi="Times New Roman" w:cs="Times New Roman"/>
          <w:sz w:val="24"/>
          <w:szCs w:val="24"/>
        </w:rPr>
        <w:t xml:space="preserve"> In addition work in Somalia discussing gender was noted.</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Feeds and Forages: </w:t>
      </w:r>
      <w:r w:rsidRPr="003A6278">
        <w:rPr>
          <w:rFonts w:ascii="Times New Roman" w:hAnsi="Times New Roman" w:cs="Times New Roman"/>
          <w:sz w:val="24"/>
          <w:szCs w:val="24"/>
        </w:rPr>
        <w:t xml:space="preserve">Aside </w:t>
      </w:r>
      <w:r>
        <w:rPr>
          <w:rFonts w:ascii="Times New Roman" w:hAnsi="Times New Roman" w:cs="Times New Roman"/>
          <w:sz w:val="24"/>
          <w:szCs w:val="24"/>
        </w:rPr>
        <w:t>from</w:t>
      </w:r>
      <w:r w:rsidRPr="003A6278">
        <w:rPr>
          <w:rFonts w:ascii="Times New Roman" w:hAnsi="Times New Roman" w:cs="Times New Roman"/>
          <w:sz w:val="24"/>
          <w:szCs w:val="24"/>
        </w:rPr>
        <w:t xml:space="preserve"> a publication from Bangladesh on the gendered nature of the fish sector, and the study in Tanzania</w:t>
      </w:r>
      <w:r>
        <w:rPr>
          <w:rFonts w:ascii="Times New Roman" w:hAnsi="Times New Roman" w:cs="Times New Roman"/>
          <w:sz w:val="24"/>
          <w:szCs w:val="24"/>
        </w:rPr>
        <w:t>,</w:t>
      </w:r>
      <w:r w:rsidRPr="003A6278">
        <w:rPr>
          <w:rFonts w:ascii="Times New Roman" w:hAnsi="Times New Roman" w:cs="Times New Roman"/>
          <w:sz w:val="24"/>
          <w:szCs w:val="24"/>
        </w:rPr>
        <w:t xml:space="preserve"> there is not much else on gender integration and analysis</w:t>
      </w:r>
      <w:r>
        <w:rPr>
          <w:rFonts w:ascii="Times New Roman" w:hAnsi="Times New Roman" w:cs="Times New Roman"/>
          <w:sz w:val="24"/>
          <w:szCs w:val="24"/>
        </w:rPr>
        <w:t xml:space="preserve"> discussed in this Flagship</w:t>
      </w:r>
      <w:r w:rsidRPr="003A6278">
        <w:rPr>
          <w:rFonts w:ascii="Times New Roman" w:hAnsi="Times New Roman" w:cs="Times New Roman"/>
          <w:sz w:val="24"/>
          <w:szCs w:val="24"/>
        </w:rPr>
        <w:t xml:space="preserve">. The work on forages for pig feeding is participatory but doesn’t take into consideration the gender dimension. Reporting for the entire </w:t>
      </w:r>
      <w:r>
        <w:rPr>
          <w:rFonts w:ascii="Times New Roman" w:hAnsi="Times New Roman" w:cs="Times New Roman"/>
          <w:sz w:val="24"/>
          <w:szCs w:val="24"/>
        </w:rPr>
        <w:t>F</w:t>
      </w:r>
      <w:r w:rsidRPr="003A6278">
        <w:rPr>
          <w:rFonts w:ascii="Times New Roman" w:hAnsi="Times New Roman" w:cs="Times New Roman"/>
          <w:sz w:val="24"/>
          <w:szCs w:val="24"/>
        </w:rPr>
        <w:t>lagship is very gender blind and it</w:t>
      </w:r>
      <w:r>
        <w:rPr>
          <w:rFonts w:ascii="Times New Roman" w:hAnsi="Times New Roman" w:cs="Times New Roman"/>
          <w:sz w:val="24"/>
          <w:szCs w:val="24"/>
        </w:rPr>
        <w:t xml:space="preserve"> is</w:t>
      </w:r>
      <w:r w:rsidRPr="003A6278">
        <w:rPr>
          <w:rFonts w:ascii="Times New Roman" w:hAnsi="Times New Roman" w:cs="Times New Roman"/>
          <w:sz w:val="24"/>
          <w:szCs w:val="24"/>
        </w:rPr>
        <w:t xml:space="preserve"> not clear if any work was undertaken </w:t>
      </w:r>
      <w:r>
        <w:rPr>
          <w:rFonts w:ascii="Times New Roman" w:hAnsi="Times New Roman" w:cs="Times New Roman"/>
          <w:sz w:val="24"/>
          <w:szCs w:val="24"/>
        </w:rPr>
        <w:t>that was</w:t>
      </w:r>
      <w:r w:rsidRPr="003A6278">
        <w:rPr>
          <w:rFonts w:ascii="Times New Roman" w:hAnsi="Times New Roman" w:cs="Times New Roman"/>
          <w:sz w:val="24"/>
          <w:szCs w:val="24"/>
        </w:rPr>
        <w:t xml:space="preserve"> not reported.</w:t>
      </w:r>
      <w:r>
        <w:rPr>
          <w:rFonts w:ascii="Times New Roman" w:hAnsi="Times New Roman" w:cs="Times New Roman"/>
          <w:sz w:val="24"/>
          <w:szCs w:val="24"/>
        </w:rPr>
        <w:t xml:space="preserve"> </w:t>
      </w:r>
      <w:r w:rsidRPr="003A6278">
        <w:rPr>
          <w:rFonts w:ascii="Times New Roman" w:hAnsi="Times New Roman" w:cs="Times New Roman"/>
          <w:sz w:val="24"/>
          <w:szCs w:val="24"/>
        </w:rPr>
        <w:t xml:space="preserve">Feeds and </w:t>
      </w:r>
      <w:r>
        <w:rPr>
          <w:rFonts w:ascii="Times New Roman" w:hAnsi="Times New Roman" w:cs="Times New Roman"/>
          <w:sz w:val="24"/>
          <w:szCs w:val="24"/>
        </w:rPr>
        <w:t>F</w:t>
      </w:r>
      <w:r w:rsidRPr="003A6278">
        <w:rPr>
          <w:rFonts w:ascii="Times New Roman" w:hAnsi="Times New Roman" w:cs="Times New Roman"/>
          <w:sz w:val="24"/>
          <w:szCs w:val="24"/>
        </w:rPr>
        <w:t>orages should have a clear focus on gender</w:t>
      </w:r>
      <w:r>
        <w:rPr>
          <w:rFonts w:ascii="Times New Roman" w:hAnsi="Times New Roman" w:cs="Times New Roman"/>
          <w:sz w:val="24"/>
          <w:szCs w:val="24"/>
        </w:rPr>
        <w:t>,</w:t>
      </w:r>
      <w:r w:rsidRPr="003A6278">
        <w:rPr>
          <w:rFonts w:ascii="Times New Roman" w:hAnsi="Times New Roman" w:cs="Times New Roman"/>
          <w:sz w:val="24"/>
          <w:szCs w:val="24"/>
        </w:rPr>
        <w:t xml:space="preserve"> especially with regards to labor issues at household level directly influencing uptake and adoption</w:t>
      </w:r>
      <w:r>
        <w:rPr>
          <w:rFonts w:ascii="Times New Roman" w:hAnsi="Times New Roman" w:cs="Times New Roman"/>
          <w:sz w:val="24"/>
          <w:szCs w:val="24"/>
        </w:rPr>
        <w:t xml:space="preserve"> of technologies, </w:t>
      </w:r>
      <w:r w:rsidRPr="003A6278">
        <w:rPr>
          <w:rFonts w:ascii="Times New Roman" w:hAnsi="Times New Roman" w:cs="Times New Roman"/>
          <w:sz w:val="24"/>
          <w:szCs w:val="24"/>
        </w:rPr>
        <w:t>and at value chain development level</w:t>
      </w:r>
      <w:r>
        <w:rPr>
          <w:rFonts w:ascii="Times New Roman" w:hAnsi="Times New Roman" w:cs="Times New Roman"/>
          <w:sz w:val="24"/>
          <w:szCs w:val="24"/>
        </w:rPr>
        <w:t>.  Such efforts are encouraged</w:t>
      </w:r>
      <w:r w:rsidRPr="003A6278">
        <w:rPr>
          <w:rFonts w:ascii="Times New Roman" w:hAnsi="Times New Roman" w:cs="Times New Roman"/>
          <w:sz w:val="24"/>
          <w:szCs w:val="24"/>
        </w:rPr>
        <w:t xml:space="preserve"> in future.</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SASI: </w:t>
      </w:r>
      <w:r w:rsidRPr="003066B7">
        <w:rPr>
          <w:rFonts w:ascii="Times New Roman" w:hAnsi="Times New Roman" w:cs="Times New Roman"/>
          <w:bCs/>
          <w:sz w:val="24"/>
          <w:szCs w:val="24"/>
        </w:rPr>
        <w:t>There was a</w:t>
      </w:r>
      <w:r>
        <w:rPr>
          <w:rFonts w:ascii="Times New Roman" w:hAnsi="Times New Roman" w:cs="Times New Roman"/>
          <w:b/>
          <w:bCs/>
          <w:sz w:val="24"/>
          <w:szCs w:val="24"/>
        </w:rPr>
        <w:t xml:space="preserve"> </w:t>
      </w:r>
      <w:r>
        <w:rPr>
          <w:rFonts w:ascii="Times New Roman" w:hAnsi="Times New Roman" w:cs="Times New Roman"/>
          <w:bCs/>
          <w:sz w:val="24"/>
          <w:szCs w:val="24"/>
        </w:rPr>
        <w:t>v</w:t>
      </w:r>
      <w:r w:rsidRPr="003A6278">
        <w:rPr>
          <w:rFonts w:ascii="Times New Roman" w:hAnsi="Times New Roman" w:cs="Times New Roman"/>
          <w:bCs/>
          <w:sz w:val="24"/>
          <w:szCs w:val="24"/>
        </w:rPr>
        <w:t xml:space="preserve">ery clear reporting structure for this </w:t>
      </w:r>
      <w:r>
        <w:rPr>
          <w:rFonts w:ascii="Times New Roman" w:hAnsi="Times New Roman" w:cs="Times New Roman"/>
          <w:bCs/>
          <w:sz w:val="24"/>
          <w:szCs w:val="24"/>
        </w:rPr>
        <w:t>F</w:t>
      </w:r>
      <w:r w:rsidRPr="003A6278">
        <w:rPr>
          <w:rFonts w:ascii="Times New Roman" w:hAnsi="Times New Roman" w:cs="Times New Roman"/>
          <w:bCs/>
          <w:sz w:val="24"/>
          <w:szCs w:val="24"/>
        </w:rPr>
        <w:t xml:space="preserve">lagship. Clarity on partners and their role and specificity </w:t>
      </w:r>
      <w:r>
        <w:rPr>
          <w:rFonts w:ascii="Times New Roman" w:hAnsi="Times New Roman" w:cs="Times New Roman"/>
          <w:bCs/>
          <w:sz w:val="24"/>
          <w:szCs w:val="24"/>
        </w:rPr>
        <w:t xml:space="preserve">was expressed </w:t>
      </w:r>
      <w:r w:rsidRPr="003A6278">
        <w:rPr>
          <w:rFonts w:ascii="Times New Roman" w:hAnsi="Times New Roman" w:cs="Times New Roman"/>
          <w:bCs/>
          <w:sz w:val="24"/>
          <w:szCs w:val="24"/>
        </w:rPr>
        <w:t xml:space="preserve">and goes to show the importance of having the right partnerships around gender and social analysis. The partnership with KIT has grown and has had a cross-cutting impact in many value chains, flagships and centers. There </w:t>
      </w:r>
      <w:r>
        <w:rPr>
          <w:rFonts w:ascii="Times New Roman" w:hAnsi="Times New Roman" w:cs="Times New Roman"/>
          <w:bCs/>
          <w:sz w:val="24"/>
          <w:szCs w:val="24"/>
        </w:rPr>
        <w:t>was</w:t>
      </w:r>
      <w:r w:rsidRPr="003A6278">
        <w:rPr>
          <w:rFonts w:ascii="Times New Roman" w:hAnsi="Times New Roman" w:cs="Times New Roman"/>
          <w:bCs/>
          <w:sz w:val="24"/>
          <w:szCs w:val="24"/>
        </w:rPr>
        <w:t xml:space="preserve"> a systematic and detailed focus on gender, from data and its impact, e.g. women’s issues in fish in Bangladesh and use of analysis results in Nicaragua; and great impact</w:t>
      </w:r>
      <w:r>
        <w:rPr>
          <w:rFonts w:ascii="Times New Roman" w:hAnsi="Times New Roman" w:cs="Times New Roman"/>
          <w:bCs/>
          <w:sz w:val="24"/>
          <w:szCs w:val="24"/>
        </w:rPr>
        <w:t>-</w:t>
      </w:r>
      <w:r w:rsidRPr="003A6278">
        <w:rPr>
          <w:rFonts w:ascii="Times New Roman" w:hAnsi="Times New Roman" w:cs="Times New Roman"/>
          <w:bCs/>
          <w:sz w:val="24"/>
          <w:szCs w:val="24"/>
        </w:rPr>
        <w:t xml:space="preserve">focused publications. </w:t>
      </w:r>
      <w:r w:rsidRPr="003A6278">
        <w:rPr>
          <w:rFonts w:ascii="Times New Roman" w:hAnsi="Times New Roman" w:cs="Times New Roman"/>
          <w:sz w:val="24"/>
          <w:szCs w:val="24"/>
        </w:rPr>
        <w:t xml:space="preserve">There </w:t>
      </w:r>
      <w:r>
        <w:rPr>
          <w:rFonts w:ascii="Times New Roman" w:hAnsi="Times New Roman" w:cs="Times New Roman"/>
          <w:sz w:val="24"/>
          <w:szCs w:val="24"/>
        </w:rPr>
        <w:t>was</w:t>
      </w:r>
      <w:r w:rsidRPr="003A6278">
        <w:rPr>
          <w:rFonts w:ascii="Times New Roman" w:hAnsi="Times New Roman" w:cs="Times New Roman"/>
          <w:sz w:val="24"/>
          <w:szCs w:val="24"/>
        </w:rPr>
        <w:t xml:space="preserve"> clear evidence of usage of tools for gender analysis and dissemination pathways for gendered research outputs. </w:t>
      </w:r>
      <w:r w:rsidRPr="003A6278">
        <w:rPr>
          <w:rFonts w:ascii="Times New Roman" w:hAnsi="Times New Roman" w:cs="Times New Roman"/>
          <w:bCs/>
          <w:sz w:val="24"/>
          <w:szCs w:val="24"/>
        </w:rPr>
        <w:t xml:space="preserve">There is need to ensure this kind of effort is reflected and reported in the other </w:t>
      </w:r>
      <w:r>
        <w:rPr>
          <w:rFonts w:ascii="Times New Roman" w:hAnsi="Times New Roman" w:cs="Times New Roman"/>
          <w:bCs/>
          <w:sz w:val="24"/>
          <w:szCs w:val="24"/>
        </w:rPr>
        <w:t>F</w:t>
      </w:r>
      <w:r w:rsidRPr="003A6278">
        <w:rPr>
          <w:rFonts w:ascii="Times New Roman" w:hAnsi="Times New Roman" w:cs="Times New Roman"/>
          <w:bCs/>
          <w:sz w:val="24"/>
          <w:szCs w:val="24"/>
        </w:rPr>
        <w:t xml:space="preserve">lagships and value chains. </w:t>
      </w:r>
      <w:r w:rsidRPr="003A6278">
        <w:rPr>
          <w:rFonts w:ascii="Times New Roman" w:hAnsi="Times New Roman" w:cs="Times New Roman"/>
          <w:sz w:val="24"/>
          <w:szCs w:val="24"/>
        </w:rPr>
        <w:t xml:space="preserve">The nutrition dimension is new and refreshing in </w:t>
      </w:r>
      <w:r>
        <w:rPr>
          <w:rFonts w:ascii="Times New Roman" w:hAnsi="Times New Roman" w:cs="Times New Roman"/>
          <w:sz w:val="24"/>
          <w:szCs w:val="24"/>
        </w:rPr>
        <w:t xml:space="preserve">its </w:t>
      </w:r>
      <w:r w:rsidRPr="003A6278">
        <w:rPr>
          <w:rFonts w:ascii="Times New Roman" w:hAnsi="Times New Roman" w:cs="Times New Roman"/>
          <w:sz w:val="24"/>
          <w:szCs w:val="24"/>
        </w:rPr>
        <w:t>focus on behavior change and on impact of work on poorer segments of the population</w:t>
      </w:r>
      <w:r>
        <w:rPr>
          <w:rFonts w:ascii="Times New Roman" w:hAnsi="Times New Roman" w:cs="Times New Roman"/>
          <w:sz w:val="24"/>
          <w:szCs w:val="24"/>
        </w:rPr>
        <w:t>.  This</w:t>
      </w:r>
      <w:r w:rsidRPr="003A6278">
        <w:rPr>
          <w:rFonts w:ascii="Times New Roman" w:hAnsi="Times New Roman" w:cs="Times New Roman"/>
          <w:sz w:val="24"/>
          <w:szCs w:val="24"/>
        </w:rPr>
        <w:t xml:space="preserve"> could be analyzed further on access of ASFs for undernourished people and ensuring that this is gendered as household members have varying nutrition needs e.g. children</w:t>
      </w:r>
      <w:r>
        <w:rPr>
          <w:rFonts w:ascii="Times New Roman" w:hAnsi="Times New Roman" w:cs="Times New Roman"/>
          <w:sz w:val="24"/>
          <w:szCs w:val="24"/>
        </w:rPr>
        <w:t xml:space="preserve">/pregnant and lactating mothers. </w:t>
      </w:r>
      <w:r w:rsidRPr="003A6278">
        <w:rPr>
          <w:rFonts w:ascii="Times New Roman" w:hAnsi="Times New Roman" w:cs="Times New Roman"/>
          <w:sz w:val="24"/>
          <w:szCs w:val="24"/>
        </w:rPr>
        <w:t>The focus on integrated gender research should be seen throughout</w:t>
      </w:r>
      <w:r>
        <w:rPr>
          <w:rFonts w:ascii="Times New Roman" w:hAnsi="Times New Roman" w:cs="Times New Roman"/>
          <w:sz w:val="24"/>
          <w:szCs w:val="24"/>
        </w:rPr>
        <w:t>,</w:t>
      </w:r>
      <w:r w:rsidRPr="003A6278">
        <w:rPr>
          <w:rFonts w:ascii="Times New Roman" w:hAnsi="Times New Roman" w:cs="Times New Roman"/>
          <w:sz w:val="24"/>
          <w:szCs w:val="24"/>
        </w:rPr>
        <w:t xml:space="preserve"> to value chain transformation and upgrading; as well as NRM</w:t>
      </w:r>
      <w:r>
        <w:rPr>
          <w:rFonts w:ascii="Times New Roman" w:hAnsi="Times New Roman" w:cs="Times New Roman"/>
          <w:sz w:val="24"/>
          <w:szCs w:val="24"/>
        </w:rPr>
        <w:t xml:space="preserve"> </w:t>
      </w:r>
      <w:r w:rsidRPr="003A6278">
        <w:rPr>
          <w:rFonts w:ascii="Times New Roman" w:hAnsi="Times New Roman" w:cs="Times New Roman"/>
          <w:sz w:val="24"/>
          <w:szCs w:val="24"/>
        </w:rPr>
        <w:t xml:space="preserve">- just as in the other flagships. </w:t>
      </w:r>
      <w:r>
        <w:rPr>
          <w:rFonts w:ascii="Times New Roman" w:hAnsi="Times New Roman" w:cs="Times New Roman"/>
          <w:sz w:val="24"/>
          <w:szCs w:val="24"/>
        </w:rPr>
        <w:t xml:space="preserve">Lastly, </w:t>
      </w:r>
      <w:r w:rsidRPr="003A6278">
        <w:rPr>
          <w:rFonts w:ascii="Times New Roman" w:hAnsi="Times New Roman" w:cs="Times New Roman"/>
          <w:sz w:val="24"/>
          <w:szCs w:val="24"/>
        </w:rPr>
        <w:t>a focus on monitoring</w:t>
      </w:r>
      <w:r>
        <w:rPr>
          <w:rFonts w:ascii="Times New Roman" w:hAnsi="Times New Roman" w:cs="Times New Roman"/>
          <w:sz w:val="24"/>
          <w:szCs w:val="24"/>
        </w:rPr>
        <w:t xml:space="preserve"> with some p</w:t>
      </w:r>
      <w:r w:rsidRPr="003A6278">
        <w:rPr>
          <w:rFonts w:ascii="Times New Roman" w:hAnsi="Times New Roman" w:cs="Times New Roman"/>
          <w:sz w:val="24"/>
          <w:szCs w:val="24"/>
        </w:rPr>
        <w:t>rogress and planning</w:t>
      </w:r>
      <w:r>
        <w:rPr>
          <w:rFonts w:ascii="Times New Roman" w:hAnsi="Times New Roman" w:cs="Times New Roman"/>
          <w:sz w:val="24"/>
          <w:szCs w:val="24"/>
        </w:rPr>
        <w:t xml:space="preserve"> will be useful in helping to clarify gender issues and progress made</w:t>
      </w:r>
      <w:r w:rsidRPr="003A6278">
        <w:rPr>
          <w:rFonts w:ascii="Times New Roman" w:hAnsi="Times New Roman" w:cs="Times New Roman"/>
          <w:sz w:val="24"/>
          <w:szCs w:val="24"/>
        </w:rPr>
        <w:t>. Resource allocation to MLE is going to be key in tracking outcome</w:t>
      </w:r>
      <w:r>
        <w:rPr>
          <w:rFonts w:ascii="Times New Roman" w:hAnsi="Times New Roman" w:cs="Times New Roman"/>
          <w:sz w:val="24"/>
          <w:szCs w:val="24"/>
        </w:rPr>
        <w:t>s</w:t>
      </w:r>
      <w:r w:rsidRPr="003A6278">
        <w:rPr>
          <w:rFonts w:ascii="Times New Roman" w:hAnsi="Times New Roman" w:cs="Times New Roman"/>
          <w:sz w:val="24"/>
          <w:szCs w:val="24"/>
        </w:rPr>
        <w:t xml:space="preserve"> and impacts of interventions as there is more pressure to undertake research for development and showcase those outcomes. </w:t>
      </w:r>
      <w:r>
        <w:rPr>
          <w:rFonts w:ascii="Times New Roman" w:hAnsi="Times New Roman" w:cs="Times New Roman"/>
          <w:sz w:val="24"/>
          <w:szCs w:val="24"/>
        </w:rPr>
        <w:t>The same will apply</w:t>
      </w:r>
      <w:r w:rsidRPr="003A6278">
        <w:rPr>
          <w:rFonts w:ascii="Times New Roman" w:hAnsi="Times New Roman" w:cs="Times New Roman"/>
          <w:sz w:val="24"/>
          <w:szCs w:val="24"/>
        </w:rPr>
        <w:t xml:space="preserve"> for gender budgeting. </w:t>
      </w:r>
    </w:p>
    <w:p w:rsidR="00E220EF"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VCTS: </w:t>
      </w:r>
      <w:r w:rsidRPr="00146D64">
        <w:rPr>
          <w:rFonts w:ascii="Times New Roman" w:hAnsi="Times New Roman" w:cs="Times New Roman"/>
          <w:bCs/>
          <w:sz w:val="24"/>
          <w:szCs w:val="24"/>
        </w:rPr>
        <w:t>The s</w:t>
      </w:r>
      <w:r w:rsidRPr="000638B8">
        <w:rPr>
          <w:rFonts w:ascii="Times New Roman" w:hAnsi="Times New Roman" w:cs="Times New Roman"/>
          <w:bCs/>
          <w:sz w:val="24"/>
          <w:szCs w:val="24"/>
        </w:rPr>
        <w:t>tructure</w:t>
      </w:r>
      <w:r w:rsidRPr="002338FC">
        <w:rPr>
          <w:rFonts w:ascii="Times New Roman" w:hAnsi="Times New Roman" w:cs="Times New Roman"/>
          <w:bCs/>
          <w:sz w:val="24"/>
          <w:szCs w:val="24"/>
        </w:rPr>
        <w:t xml:space="preserve"> of </w:t>
      </w:r>
      <w:r>
        <w:rPr>
          <w:rFonts w:ascii="Times New Roman" w:hAnsi="Times New Roman" w:cs="Times New Roman"/>
          <w:bCs/>
          <w:sz w:val="24"/>
          <w:szCs w:val="24"/>
        </w:rPr>
        <w:t xml:space="preserve">this </w:t>
      </w:r>
      <w:r w:rsidRPr="002338FC">
        <w:rPr>
          <w:rFonts w:ascii="Times New Roman" w:hAnsi="Times New Roman" w:cs="Times New Roman"/>
          <w:bCs/>
          <w:sz w:val="24"/>
          <w:szCs w:val="24"/>
        </w:rPr>
        <w:t xml:space="preserve">report </w:t>
      </w:r>
      <w:r>
        <w:rPr>
          <w:rFonts w:ascii="Times New Roman" w:hAnsi="Times New Roman" w:cs="Times New Roman"/>
          <w:bCs/>
          <w:sz w:val="24"/>
          <w:szCs w:val="24"/>
        </w:rPr>
        <w:t>was</w:t>
      </w:r>
      <w:r w:rsidRPr="002338FC">
        <w:rPr>
          <w:rFonts w:ascii="Times New Roman" w:hAnsi="Times New Roman" w:cs="Times New Roman"/>
          <w:bCs/>
          <w:sz w:val="24"/>
          <w:szCs w:val="24"/>
        </w:rPr>
        <w:t xml:space="preserve"> hard to follow. There </w:t>
      </w:r>
      <w:r>
        <w:rPr>
          <w:rFonts w:ascii="Times New Roman" w:hAnsi="Times New Roman" w:cs="Times New Roman"/>
          <w:bCs/>
          <w:sz w:val="24"/>
          <w:szCs w:val="24"/>
        </w:rPr>
        <w:t>was</w:t>
      </w:r>
      <w:r w:rsidRPr="002338FC">
        <w:rPr>
          <w:rFonts w:ascii="Times New Roman" w:hAnsi="Times New Roman" w:cs="Times New Roman"/>
          <w:bCs/>
          <w:sz w:val="24"/>
          <w:szCs w:val="24"/>
        </w:rPr>
        <w:t xml:space="preserve"> very limited demonstration of gender in this </w:t>
      </w:r>
      <w:r>
        <w:rPr>
          <w:rFonts w:ascii="Times New Roman" w:hAnsi="Times New Roman" w:cs="Times New Roman"/>
          <w:bCs/>
          <w:sz w:val="24"/>
          <w:szCs w:val="24"/>
        </w:rPr>
        <w:t>F</w:t>
      </w:r>
      <w:r w:rsidRPr="002338FC">
        <w:rPr>
          <w:rFonts w:ascii="Times New Roman" w:hAnsi="Times New Roman" w:cs="Times New Roman"/>
          <w:bCs/>
          <w:sz w:val="24"/>
          <w:szCs w:val="24"/>
        </w:rPr>
        <w:t>lagship, disappointingly so since there is so much to report on.  A few examples</w:t>
      </w:r>
      <w:r>
        <w:rPr>
          <w:rFonts w:ascii="Times New Roman" w:hAnsi="Times New Roman" w:cs="Times New Roman"/>
          <w:bCs/>
          <w:sz w:val="24"/>
          <w:szCs w:val="24"/>
        </w:rPr>
        <w:t>,</w:t>
      </w:r>
      <w:r w:rsidRPr="002338FC">
        <w:rPr>
          <w:rFonts w:ascii="Times New Roman" w:hAnsi="Times New Roman" w:cs="Times New Roman"/>
          <w:bCs/>
          <w:sz w:val="24"/>
          <w:szCs w:val="24"/>
        </w:rPr>
        <w:t xml:space="preserve"> such as the Bangladesh fish value chain</w:t>
      </w:r>
      <w:r>
        <w:rPr>
          <w:rFonts w:ascii="Times New Roman" w:hAnsi="Times New Roman" w:cs="Times New Roman"/>
          <w:bCs/>
          <w:sz w:val="24"/>
          <w:szCs w:val="24"/>
        </w:rPr>
        <w:t>,</w:t>
      </w:r>
      <w:r w:rsidRPr="002338FC">
        <w:rPr>
          <w:rFonts w:ascii="Times New Roman" w:hAnsi="Times New Roman" w:cs="Times New Roman"/>
          <w:bCs/>
          <w:sz w:val="24"/>
          <w:szCs w:val="24"/>
        </w:rPr>
        <w:t xml:space="preserve"> show the potential, but </w:t>
      </w:r>
      <w:r>
        <w:rPr>
          <w:rFonts w:ascii="Times New Roman" w:hAnsi="Times New Roman" w:cs="Times New Roman"/>
          <w:bCs/>
          <w:sz w:val="24"/>
          <w:szCs w:val="24"/>
        </w:rPr>
        <w:t xml:space="preserve">even this value chain </w:t>
      </w:r>
      <w:r w:rsidRPr="002338FC">
        <w:rPr>
          <w:rFonts w:ascii="Times New Roman" w:hAnsi="Times New Roman" w:cs="Times New Roman"/>
          <w:bCs/>
          <w:sz w:val="24"/>
          <w:szCs w:val="24"/>
        </w:rPr>
        <w:t>do</w:t>
      </w:r>
      <w:r>
        <w:rPr>
          <w:rFonts w:ascii="Times New Roman" w:hAnsi="Times New Roman" w:cs="Times New Roman"/>
          <w:bCs/>
          <w:sz w:val="24"/>
          <w:szCs w:val="24"/>
        </w:rPr>
        <w:t xml:space="preserve">es not </w:t>
      </w:r>
      <w:r w:rsidRPr="002338FC">
        <w:rPr>
          <w:rFonts w:ascii="Times New Roman" w:hAnsi="Times New Roman" w:cs="Times New Roman"/>
          <w:bCs/>
          <w:sz w:val="24"/>
          <w:szCs w:val="24"/>
        </w:rPr>
        <w:t xml:space="preserve">go in-depth even where gender issues </w:t>
      </w:r>
      <w:r>
        <w:rPr>
          <w:rFonts w:ascii="Times New Roman" w:hAnsi="Times New Roman" w:cs="Times New Roman"/>
          <w:bCs/>
          <w:sz w:val="24"/>
          <w:szCs w:val="24"/>
        </w:rPr>
        <w:t>we</w:t>
      </w:r>
      <w:r w:rsidRPr="002338FC">
        <w:rPr>
          <w:rFonts w:ascii="Times New Roman" w:hAnsi="Times New Roman" w:cs="Times New Roman"/>
          <w:bCs/>
          <w:sz w:val="24"/>
          <w:szCs w:val="24"/>
        </w:rPr>
        <w:t xml:space="preserve">re mentioned. It focuses mostly on the publications and not impact </w:t>
      </w:r>
      <w:r>
        <w:rPr>
          <w:rFonts w:ascii="Times New Roman" w:hAnsi="Times New Roman" w:cs="Times New Roman"/>
          <w:bCs/>
          <w:sz w:val="24"/>
          <w:szCs w:val="24"/>
        </w:rPr>
        <w:t xml:space="preserve">- </w:t>
      </w:r>
      <w:r w:rsidRPr="002338FC">
        <w:rPr>
          <w:rFonts w:ascii="Times New Roman" w:hAnsi="Times New Roman" w:cs="Times New Roman"/>
          <w:bCs/>
          <w:sz w:val="24"/>
          <w:szCs w:val="24"/>
        </w:rPr>
        <w:t xml:space="preserve">and this is a clear demonstration of the need for MLE to capture actual development impacts. This </w:t>
      </w:r>
      <w:r>
        <w:rPr>
          <w:rFonts w:ascii="Times New Roman" w:hAnsi="Times New Roman" w:cs="Times New Roman"/>
          <w:bCs/>
          <w:sz w:val="24"/>
          <w:szCs w:val="24"/>
        </w:rPr>
        <w:t>F</w:t>
      </w:r>
      <w:r w:rsidRPr="002338FC">
        <w:rPr>
          <w:rFonts w:ascii="Times New Roman" w:hAnsi="Times New Roman" w:cs="Times New Roman"/>
          <w:bCs/>
          <w:sz w:val="24"/>
          <w:szCs w:val="24"/>
        </w:rPr>
        <w:t xml:space="preserve">lagship </w:t>
      </w:r>
      <w:r>
        <w:rPr>
          <w:rFonts w:ascii="Times New Roman" w:hAnsi="Times New Roman" w:cs="Times New Roman"/>
          <w:bCs/>
          <w:sz w:val="24"/>
          <w:szCs w:val="24"/>
        </w:rPr>
        <w:t xml:space="preserve">and related activities </w:t>
      </w:r>
      <w:r w:rsidRPr="002338FC">
        <w:rPr>
          <w:rFonts w:ascii="Times New Roman" w:hAnsi="Times New Roman" w:cs="Times New Roman"/>
          <w:bCs/>
          <w:sz w:val="24"/>
          <w:szCs w:val="24"/>
        </w:rPr>
        <w:t xml:space="preserve">in future should go further to demonstrate how it has integrated gender analysis and other socio-economic characteristics in its design and how these variables might impact and benefit the participation of men and women.  </w:t>
      </w:r>
      <w:r w:rsidRPr="002338FC">
        <w:rPr>
          <w:rFonts w:ascii="Times New Roman" w:hAnsi="Times New Roman" w:cs="Times New Roman"/>
          <w:sz w:val="24"/>
          <w:szCs w:val="24"/>
        </w:rPr>
        <w:t>For instance</w:t>
      </w:r>
      <w:r>
        <w:rPr>
          <w:rFonts w:ascii="Times New Roman" w:hAnsi="Times New Roman" w:cs="Times New Roman"/>
          <w:sz w:val="24"/>
          <w:szCs w:val="24"/>
        </w:rPr>
        <w:t>,</w:t>
      </w:r>
      <w:r w:rsidRPr="002338FC">
        <w:rPr>
          <w:rFonts w:ascii="Times New Roman" w:hAnsi="Times New Roman" w:cs="Times New Roman"/>
          <w:sz w:val="24"/>
          <w:szCs w:val="24"/>
        </w:rPr>
        <w:t xml:space="preserve"> for the Bangladesh value chain, </w:t>
      </w:r>
      <w:r>
        <w:rPr>
          <w:rFonts w:ascii="Times New Roman" w:hAnsi="Times New Roman" w:cs="Times New Roman"/>
          <w:sz w:val="24"/>
          <w:szCs w:val="24"/>
        </w:rPr>
        <w:t xml:space="preserve">there should be </w:t>
      </w:r>
      <w:r w:rsidRPr="002338FC">
        <w:rPr>
          <w:rFonts w:ascii="Times New Roman" w:hAnsi="Times New Roman" w:cs="Times New Roman"/>
          <w:sz w:val="24"/>
          <w:szCs w:val="24"/>
        </w:rPr>
        <w:t>build up on the analysis o</w:t>
      </w:r>
      <w:r>
        <w:rPr>
          <w:rFonts w:ascii="Times New Roman" w:hAnsi="Times New Roman" w:cs="Times New Roman"/>
          <w:sz w:val="24"/>
          <w:szCs w:val="24"/>
        </w:rPr>
        <w:t>f</w:t>
      </w:r>
      <w:r w:rsidRPr="002338FC">
        <w:rPr>
          <w:rFonts w:ascii="Times New Roman" w:hAnsi="Times New Roman" w:cs="Times New Roman"/>
          <w:sz w:val="24"/>
          <w:szCs w:val="24"/>
        </w:rPr>
        <w:t xml:space="preserve"> gender ownership of fishponds, emerging gender issues in fish value chain, multi-dimensional barriers in technology uptake by women etc. The India and Vietnam value chains</w:t>
      </w:r>
      <w:r>
        <w:rPr>
          <w:rFonts w:ascii="Times New Roman" w:hAnsi="Times New Roman" w:cs="Times New Roman"/>
          <w:sz w:val="24"/>
          <w:szCs w:val="24"/>
        </w:rPr>
        <w:t>’</w:t>
      </w:r>
      <w:r w:rsidRPr="002338FC">
        <w:rPr>
          <w:rFonts w:ascii="Times New Roman" w:hAnsi="Times New Roman" w:cs="Times New Roman"/>
          <w:sz w:val="24"/>
          <w:szCs w:val="24"/>
        </w:rPr>
        <w:t xml:space="preserve"> work </w:t>
      </w:r>
      <w:r>
        <w:rPr>
          <w:rFonts w:ascii="Times New Roman" w:hAnsi="Times New Roman" w:cs="Times New Roman"/>
          <w:sz w:val="24"/>
          <w:szCs w:val="24"/>
        </w:rPr>
        <w:t>was</w:t>
      </w:r>
      <w:r w:rsidRPr="002338FC">
        <w:rPr>
          <w:rFonts w:ascii="Times New Roman" w:hAnsi="Times New Roman" w:cs="Times New Roman"/>
          <w:sz w:val="24"/>
          <w:szCs w:val="24"/>
        </w:rPr>
        <w:t xml:space="preserve"> also gender blind as reported</w:t>
      </w:r>
      <w:r>
        <w:rPr>
          <w:rFonts w:ascii="Times New Roman" w:hAnsi="Times New Roman" w:cs="Times New Roman"/>
          <w:sz w:val="24"/>
          <w:szCs w:val="24"/>
        </w:rPr>
        <w:t>.</w:t>
      </w:r>
    </w:p>
    <w:p w:rsidR="00E220EF" w:rsidRPr="002338FC" w:rsidRDefault="00E220EF" w:rsidP="00E220EF">
      <w:pPr>
        <w:ind w:left="360"/>
        <w:rPr>
          <w:rFonts w:ascii="Times New Roman" w:hAnsi="Times New Roman" w:cs="Times New Roman"/>
          <w:sz w:val="24"/>
          <w:szCs w:val="24"/>
        </w:rPr>
      </w:pPr>
      <w:r>
        <w:rPr>
          <w:rFonts w:ascii="Times New Roman" w:hAnsi="Times New Roman" w:cs="Times New Roman"/>
          <w:sz w:val="24"/>
          <w:szCs w:val="24"/>
        </w:rPr>
        <w:t>SPAC encourages that future activities</w:t>
      </w:r>
      <w:r w:rsidRPr="002338FC">
        <w:rPr>
          <w:rFonts w:ascii="Times New Roman" w:hAnsi="Times New Roman" w:cs="Times New Roman"/>
          <w:sz w:val="24"/>
          <w:szCs w:val="24"/>
        </w:rPr>
        <w:t xml:space="preserve"> ensur</w:t>
      </w:r>
      <w:r>
        <w:rPr>
          <w:rFonts w:ascii="Times New Roman" w:hAnsi="Times New Roman" w:cs="Times New Roman"/>
          <w:sz w:val="24"/>
          <w:szCs w:val="24"/>
        </w:rPr>
        <w:t>e</w:t>
      </w:r>
      <w:r w:rsidRPr="002338FC">
        <w:rPr>
          <w:rFonts w:ascii="Times New Roman" w:hAnsi="Times New Roman" w:cs="Times New Roman"/>
          <w:sz w:val="24"/>
          <w:szCs w:val="24"/>
        </w:rPr>
        <w:t xml:space="preserve"> gender is integrated in</w:t>
      </w:r>
      <w:r>
        <w:rPr>
          <w:rFonts w:ascii="Times New Roman" w:hAnsi="Times New Roman" w:cs="Times New Roman"/>
          <w:sz w:val="24"/>
          <w:szCs w:val="24"/>
        </w:rPr>
        <w:t>to</w:t>
      </w:r>
      <w:r w:rsidRPr="002338FC">
        <w:rPr>
          <w:rFonts w:ascii="Times New Roman" w:hAnsi="Times New Roman" w:cs="Times New Roman"/>
          <w:sz w:val="24"/>
          <w:szCs w:val="24"/>
        </w:rPr>
        <w:t xml:space="preserve"> the design, implementation, MLE and </w:t>
      </w:r>
      <w:r>
        <w:rPr>
          <w:rFonts w:ascii="Times New Roman" w:hAnsi="Times New Roman" w:cs="Times New Roman"/>
          <w:sz w:val="24"/>
          <w:szCs w:val="24"/>
        </w:rPr>
        <w:t>other activities of the Flagships as a whole.</w:t>
      </w:r>
    </w:p>
    <w:p w:rsidR="00E220EF" w:rsidRDefault="00E220EF" w:rsidP="00E220EF">
      <w:pPr>
        <w:rPr>
          <w:rFonts w:ascii="Times New Roman" w:hAnsi="Times New Roman" w:cs="Times New Roman"/>
          <w:b/>
          <w:sz w:val="24"/>
          <w:szCs w:val="24"/>
        </w:rPr>
      </w:pPr>
    </w:p>
    <w:p w:rsidR="00E220EF" w:rsidRPr="00FC7277" w:rsidRDefault="00E220EF" w:rsidP="00E220EF">
      <w:pPr>
        <w:rPr>
          <w:rFonts w:ascii="Times New Roman" w:hAnsi="Times New Roman" w:cs="Times New Roman"/>
          <w:b/>
          <w:sz w:val="24"/>
          <w:szCs w:val="24"/>
        </w:rPr>
      </w:pPr>
      <w:r w:rsidRPr="00FC7277">
        <w:rPr>
          <w:rFonts w:ascii="Times New Roman" w:hAnsi="Times New Roman" w:cs="Times New Roman"/>
          <w:b/>
          <w:sz w:val="24"/>
          <w:szCs w:val="24"/>
        </w:rPr>
        <w:t xml:space="preserve">Feedback from </w:t>
      </w:r>
      <w:r>
        <w:rPr>
          <w:rFonts w:ascii="Times New Roman" w:hAnsi="Times New Roman" w:cs="Times New Roman"/>
          <w:b/>
          <w:sz w:val="24"/>
          <w:szCs w:val="24"/>
        </w:rPr>
        <w:t xml:space="preserve">this SPAC </w:t>
      </w:r>
      <w:r w:rsidRPr="00FC7277">
        <w:rPr>
          <w:rFonts w:ascii="Times New Roman" w:hAnsi="Times New Roman" w:cs="Times New Roman"/>
          <w:b/>
          <w:sz w:val="24"/>
          <w:szCs w:val="24"/>
        </w:rPr>
        <w:t>review and lessons learned</w:t>
      </w: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Substantial Progress.  </w:t>
      </w:r>
      <w:r w:rsidRPr="003066B7">
        <w:rPr>
          <w:rFonts w:ascii="Times New Roman" w:hAnsi="Times New Roman"/>
          <w:bCs/>
          <w:sz w:val="24"/>
          <w:szCs w:val="24"/>
        </w:rPr>
        <w:t>SPAC is very pleased to note the very substantial progress that the L&amp;F CRP has made in both upstream and downstream implementation, and in its internal operational synergies.  Several value chains are demonstrating progress, including take-up of research, growing value chain linkages, and scale up of approaches and research.</w:t>
      </w:r>
      <w:r w:rsidRPr="003066B7">
        <w:rPr>
          <w:rFonts w:ascii="Times New Roman" w:hAnsi="Times New Roman"/>
          <w:b/>
          <w:bCs/>
          <w:sz w:val="24"/>
          <w:szCs w:val="24"/>
        </w:rPr>
        <w:t xml:space="preserve">  </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 xml:space="preserve">More substantial outcomes.  </w:t>
      </w:r>
      <w:r w:rsidRPr="003066B7">
        <w:rPr>
          <w:rFonts w:ascii="Times New Roman" w:hAnsi="Times New Roman"/>
          <w:bCs/>
          <w:sz w:val="24"/>
          <w:szCs w:val="24"/>
        </w:rPr>
        <w:t>CRP outputs, in terms of applied research and methodologies, have stepped up in several countries.  Upstream research is more clearly engaged with the value chain.</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Increased interaction.</w:t>
      </w:r>
      <w:r w:rsidRPr="003066B7">
        <w:rPr>
          <w:rFonts w:ascii="Times New Roman" w:hAnsi="Times New Roman"/>
          <w:bCs/>
          <w:sz w:val="24"/>
          <w:szCs w:val="24"/>
        </w:rPr>
        <w:t xml:space="preserve">  Flagships and value chains appear to be much more interactive, and the nature of their collaborations is much more clearly described.</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Improved reporting.  </w:t>
      </w:r>
      <w:r w:rsidRPr="003066B7">
        <w:rPr>
          <w:rFonts w:ascii="Times New Roman" w:hAnsi="Times New Roman"/>
          <w:bCs/>
          <w:sz w:val="24"/>
          <w:szCs w:val="24"/>
        </w:rPr>
        <w:t>SPAC appreciates that the Flagship and Value chain reporting are both much clearer in explaining activities, value chain linkages, flagship-value chain interactions, and outcomes.  It may be that this additional clarity is helping SPAC to recognize the accomplishments described in 1—3 above.</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Greater involvement with business.  </w:t>
      </w:r>
      <w:r w:rsidRPr="003066B7">
        <w:rPr>
          <w:rFonts w:ascii="Times New Roman" w:hAnsi="Times New Roman"/>
          <w:bCs/>
          <w:sz w:val="24"/>
          <w:szCs w:val="24"/>
        </w:rPr>
        <w:t>Value chains are much more involved with private sector (business actors), including traders, service/inputs providers and downstream enterprises.  These linkages are implementing business models, providing market pull, and providing the basis for take-up and scale-up beyond the community level, and should be continued and strengthened.</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Gender themes are incorporated.  </w:t>
      </w:r>
      <w:r w:rsidRPr="003066B7">
        <w:rPr>
          <w:rFonts w:ascii="Times New Roman" w:hAnsi="Times New Roman"/>
          <w:bCs/>
          <w:sz w:val="24"/>
          <w:szCs w:val="24"/>
        </w:rPr>
        <w:t xml:space="preserve">Gender themes are significantly better and more extensively incorporated in all elements of the CRP especially in the genetics &amp; forages; SASI flagships. There is still a focus on publications rather than real impact as a result of lack of MLE through the flagship from the beginning. Some issues on funding could be addressed by ability to show real impact. We recommend resourcing gender and MLE in both staffing and actual research and dissemination. Partnerships with relevant development organizations will play a key role with gender and M&amp;E. </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Influx and impact of bilateral dollars.  </w:t>
      </w:r>
      <w:r w:rsidRPr="003066B7">
        <w:rPr>
          <w:rFonts w:ascii="Times New Roman" w:hAnsi="Times New Roman"/>
          <w:bCs/>
          <w:sz w:val="24"/>
          <w:szCs w:val="24"/>
        </w:rPr>
        <w:t xml:space="preserve">While it is clear that the CRP is underfunded and hence requires considerable bilateral funding, this may come “with a price”.  </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0"/>
          <w:numId w:val="22"/>
        </w:numPr>
        <w:spacing w:after="160" w:line="252" w:lineRule="auto"/>
        <w:rPr>
          <w:rFonts w:ascii="Times New Roman" w:hAnsi="Times New Roman"/>
          <w:b/>
          <w:bCs/>
          <w:sz w:val="24"/>
          <w:szCs w:val="24"/>
        </w:rPr>
      </w:pPr>
      <w:r w:rsidRPr="003066B7">
        <w:rPr>
          <w:rFonts w:ascii="Times New Roman" w:hAnsi="Times New Roman"/>
          <w:bCs/>
          <w:sz w:val="24"/>
          <w:szCs w:val="24"/>
        </w:rPr>
        <w:t>Small grants should be avoided due to management costs and very large ones should be taken only if they play a role in the CRP and do not misdirect it.</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The CRP is required to “buy into” the bilateral funder’s agenda.  This may not be fully in synchrony with the L&amp;F’s ToC, or with its partners’ mandates as upstream research institutions. Care should be taken to evaluate such decisions.</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 xml:space="preserve">The CRP is required to work within the bilateral’s timeline.  This is typically of shorter term (even as short as 3 years) that the CRP’s requirements, putting further pressure on CRPs’ research agenda and achievement of the ToC. </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Bilaterals have agendas that emphasize development rather research.  This puts pressure on CRP to adopt a development focus (versus a research focus).</w:t>
      </w:r>
    </w:p>
    <w:p w:rsidR="00E220EF" w:rsidRPr="003066B7" w:rsidRDefault="00E220EF" w:rsidP="00E220EF">
      <w:pPr>
        <w:spacing w:line="252" w:lineRule="auto"/>
        <w:ind w:left="360"/>
        <w:rPr>
          <w:rFonts w:ascii="Times New Roman" w:hAnsi="Times New Roman" w:cs="Times New Roman"/>
          <w:bCs/>
          <w:sz w:val="24"/>
          <w:szCs w:val="24"/>
        </w:rPr>
      </w:pPr>
      <w:r w:rsidRPr="003066B7">
        <w:rPr>
          <w:rFonts w:ascii="Times New Roman" w:hAnsi="Times New Roman" w:cs="Times New Roman"/>
          <w:bCs/>
          <w:sz w:val="24"/>
          <w:szCs w:val="24"/>
        </w:rPr>
        <w:t>The combined impact of this linkage with bilateral initiatives may be to diminish the focus of research in the CRP’s (and institutes’) agenda.  To guard against this, SPAC recommends that CRP carefully work with prospective bilateral partners / financiers to craft roles for the CRP that are consistent with the CRPs ToCs, research mandates, and competitive advantage in research.</w:t>
      </w: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 xml:space="preserve">Synthesis events have great value.  </w:t>
      </w:r>
      <w:r w:rsidRPr="003066B7">
        <w:rPr>
          <w:rFonts w:ascii="Times New Roman" w:hAnsi="Times New Roman"/>
          <w:bCs/>
          <w:sz w:val="24"/>
          <w:szCs w:val="24"/>
        </w:rPr>
        <w:t xml:space="preserve">The Flagships and Value Chains repeatedly commented on the value of the synthesis events that have taken place since September.  These events have added value in terms of clarifying Flagship roles with the CRP, the desired collaborative linkages between value chains and flagships, accomplishments and objectives.  The synthesis events were absolutely vital as a wind-up to Phase 1, especially in the absence of Monitoring, Evaluation or Impact information/data.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r w:rsidRPr="003066B7">
        <w:rPr>
          <w:rFonts w:ascii="Times New Roman" w:hAnsi="Times New Roman"/>
          <w:bCs/>
          <w:sz w:val="24"/>
          <w:szCs w:val="24"/>
        </w:rPr>
        <w:t xml:space="preserve">We recommend that synthesis events be implemented frequently during the Phase 2 CRP, side-by-side with monitoring activities.  We recommend that formal writeshop-style events take place at least every 2 years, with other less-formal events held twice-yearly.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The collaborating Institutes, and CRP itself, should not try to do too much if financial or personnel resources are not available.  </w:t>
      </w:r>
      <w:r w:rsidRPr="003066B7">
        <w:rPr>
          <w:rFonts w:ascii="Times New Roman" w:hAnsi="Times New Roman"/>
          <w:bCs/>
          <w:sz w:val="24"/>
          <w:szCs w:val="24"/>
        </w:rPr>
        <w:t xml:space="preserve">If resources are not available, internally or from partners, then the activities – including excess value chain - should be postponed or dropped.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Needed staff resources.  </w:t>
      </w:r>
      <w:r w:rsidRPr="003066B7">
        <w:rPr>
          <w:rFonts w:ascii="Times New Roman" w:hAnsi="Times New Roman"/>
          <w:bCs/>
          <w:sz w:val="24"/>
          <w:szCs w:val="24"/>
        </w:rPr>
        <w:t>The absence of personnel needed for CRP implementation has been constantly mentioned by the Flagships and Value Chains over the last 4 years.  This has been a terrible drag on CRP implementation.  Some personnel requirements were not fully recognized at the outset – for example personnel with practical value chain expertise and business expertise.  SPAC recommends that the CRP ensures that the right personnel are engaged at the outset of Phase 2.  If CRP has difficulty in engaging these personnel, the alternative may be to (a) confide responsibilities to partner organizations that possess the expertise or (b) to cut back on the CRP activities by suspending or dropping activities for which it lacks proper personnel capacity.</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A functioning monitoring and evaluation system needs to be in place for Phase 2 from the outset.  </w:t>
      </w:r>
      <w:r w:rsidRPr="003066B7">
        <w:rPr>
          <w:rFonts w:ascii="Times New Roman" w:hAnsi="Times New Roman"/>
          <w:bCs/>
          <w:sz w:val="24"/>
          <w:szCs w:val="24"/>
        </w:rPr>
        <w:t>SPAC (and many others) have continuously noted the need for M&amp;E, which was not able to be implemented during Phase 1.  The M&amp;E should be closely linked to the Theory of Change, and basis should include intermediate indicators that can credibly demonstrate progress on an ongoing towards achieving CRP outcomes.  The M&amp;E system should provide impact data.  Success stories will also be useful.  Ongoing CRP results should be well-communicated internally and to external to CRP stakeholders, and especially to bilaterals and other program funders.</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
          <w:bCs/>
          <w:sz w:val="24"/>
          <w:szCs w:val="24"/>
        </w:rPr>
      </w:pPr>
      <w:r w:rsidRPr="003066B7">
        <w:rPr>
          <w:rFonts w:ascii="Times New Roman" w:hAnsi="Times New Roman"/>
          <w:b/>
          <w:bCs/>
          <w:sz w:val="24"/>
          <w:szCs w:val="24"/>
        </w:rPr>
        <w:t xml:space="preserve">Partnership issues. </w:t>
      </w:r>
      <w:r w:rsidRPr="003066B7">
        <w:rPr>
          <w:rFonts w:ascii="Times New Roman" w:hAnsi="Times New Roman"/>
          <w:bCs/>
          <w:sz w:val="24"/>
          <w:szCs w:val="24"/>
        </w:rPr>
        <w:t xml:space="preserve"> CRP has established numerous implementation partnerships</w:t>
      </w:r>
      <w:r>
        <w:rPr>
          <w:rFonts w:ascii="Times New Roman" w:hAnsi="Times New Roman"/>
          <w:bCs/>
          <w:sz w:val="24"/>
          <w:szCs w:val="24"/>
        </w:rPr>
        <w:t xml:space="preserve"> and have</w:t>
      </w:r>
      <w:r w:rsidRPr="003066B7">
        <w:rPr>
          <w:rFonts w:ascii="Times New Roman" w:hAnsi="Times New Roman"/>
          <w:bCs/>
          <w:sz w:val="24"/>
          <w:szCs w:val="24"/>
        </w:rPr>
        <w:t xml:space="preserve"> already established a handful of “strategic” partnerships.  </w:t>
      </w:r>
      <w:r>
        <w:rPr>
          <w:rFonts w:ascii="Times New Roman" w:hAnsi="Times New Roman"/>
          <w:bCs/>
          <w:sz w:val="24"/>
          <w:szCs w:val="24"/>
        </w:rPr>
        <w:t xml:space="preserve">Given the information supplied in some cases </w:t>
      </w:r>
      <w:r w:rsidRPr="003066B7">
        <w:rPr>
          <w:rFonts w:ascii="Times New Roman" w:hAnsi="Times New Roman"/>
          <w:bCs/>
          <w:sz w:val="24"/>
          <w:szCs w:val="24"/>
        </w:rPr>
        <w:t>SPAC d</w:t>
      </w:r>
      <w:r>
        <w:rPr>
          <w:rFonts w:ascii="Times New Roman" w:hAnsi="Times New Roman"/>
          <w:bCs/>
          <w:sz w:val="24"/>
          <w:szCs w:val="24"/>
        </w:rPr>
        <w:t>id</w:t>
      </w:r>
      <w:r w:rsidRPr="003066B7">
        <w:rPr>
          <w:rFonts w:ascii="Times New Roman" w:hAnsi="Times New Roman"/>
          <w:bCs/>
          <w:sz w:val="24"/>
          <w:szCs w:val="24"/>
        </w:rPr>
        <w:t xml:space="preserve"> not have sufficient information to comment on the wisdom or quality of these partnerships.  However, we wish to affirm the principle of strategic partnerships in areas that are important to the CRP and that are not areas of strength (or priority) of the collaborating institutes.</w:t>
      </w:r>
    </w:p>
    <w:p w:rsidR="00E220EF" w:rsidRPr="00FC7277" w:rsidRDefault="00E220EF" w:rsidP="00E220EF">
      <w:pPr>
        <w:rPr>
          <w:rFonts w:ascii="Times New Roman" w:hAnsi="Times New Roman" w:cs="Times New Roman"/>
          <w:b/>
          <w:sz w:val="24"/>
          <w:szCs w:val="24"/>
        </w:rPr>
      </w:pPr>
    </w:p>
    <w:p w:rsidR="00E220EF" w:rsidRPr="00FC7277" w:rsidRDefault="00E220EF" w:rsidP="00E220EF">
      <w:pPr>
        <w:shd w:val="clear" w:color="auto" w:fill="FFFFFF"/>
        <w:spacing w:after="0" w:line="240" w:lineRule="auto"/>
        <w:jc w:val="both"/>
        <w:rPr>
          <w:rFonts w:ascii="Times New Roman" w:eastAsia="Times New Roman" w:hAnsi="Times New Roman" w:cs="Times New Roman"/>
          <w:color w:val="222222"/>
          <w:sz w:val="19"/>
          <w:szCs w:val="19"/>
          <w:lang w:eastAsia="en-GB"/>
        </w:rPr>
      </w:pPr>
      <w:r>
        <w:rPr>
          <w:rFonts w:ascii="Times New Roman" w:eastAsia="Times New Roman" w:hAnsi="Times New Roman" w:cs="Times New Roman"/>
          <w:b/>
          <w:bCs/>
          <w:color w:val="222222"/>
          <w:sz w:val="24"/>
          <w:szCs w:val="24"/>
          <w:lang w:eastAsia="en-GB"/>
        </w:rPr>
        <w:t>Our r</w:t>
      </w:r>
      <w:r w:rsidRPr="00FC7277">
        <w:rPr>
          <w:rFonts w:ascii="Times New Roman" w:eastAsia="Times New Roman" w:hAnsi="Times New Roman" w:cs="Times New Roman"/>
          <w:b/>
          <w:bCs/>
          <w:color w:val="222222"/>
          <w:sz w:val="24"/>
          <w:szCs w:val="24"/>
          <w:lang w:eastAsia="en-GB"/>
        </w:rPr>
        <w:t xml:space="preserve">eflections on SPAC </w:t>
      </w:r>
      <w:r>
        <w:rPr>
          <w:rFonts w:ascii="Times New Roman" w:eastAsia="Times New Roman" w:hAnsi="Times New Roman" w:cs="Times New Roman"/>
          <w:b/>
          <w:bCs/>
          <w:color w:val="222222"/>
          <w:sz w:val="24"/>
          <w:szCs w:val="24"/>
          <w:lang w:eastAsia="en-GB"/>
        </w:rPr>
        <w:t>r</w:t>
      </w:r>
      <w:r w:rsidRPr="00FC7277">
        <w:rPr>
          <w:rFonts w:ascii="Times New Roman" w:eastAsia="Times New Roman" w:hAnsi="Times New Roman" w:cs="Times New Roman"/>
          <w:b/>
          <w:bCs/>
          <w:color w:val="222222"/>
          <w:sz w:val="24"/>
          <w:szCs w:val="24"/>
          <w:lang w:eastAsia="en-GB"/>
        </w:rPr>
        <w:t>ole and lessons learned</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On balance the expected outputs requested of SPAC have been well</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described and reasonable. However, changes in the terms of reference during the CRP time period tended to be disruptive and counterproductive. For instance, partnerships were </w:t>
      </w:r>
      <w:r>
        <w:rPr>
          <w:rFonts w:ascii="Times New Roman" w:eastAsia="Times New Roman" w:hAnsi="Times New Roman"/>
          <w:color w:val="222222"/>
          <w:sz w:val="24"/>
          <w:szCs w:val="24"/>
          <w:lang w:eastAsia="en-GB"/>
        </w:rPr>
        <w:t xml:space="preserve">an integral </w:t>
      </w:r>
      <w:r w:rsidRPr="00FC7277">
        <w:rPr>
          <w:rFonts w:ascii="Times New Roman" w:eastAsia="Times New Roman" w:hAnsi="Times New Roman"/>
          <w:color w:val="222222"/>
          <w:sz w:val="24"/>
          <w:szCs w:val="24"/>
          <w:lang w:eastAsia="en-GB"/>
        </w:rPr>
        <w:t>part of our SPAC TOR but we never got clear advice on what aspects of partnerships we were to advise on.</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In</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person meetings between the management team and SPAC member and among flagship leaders and scientists with the SPAC are very desirable</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 and </w:t>
      </w:r>
      <w:r>
        <w:rPr>
          <w:rFonts w:ascii="Times New Roman" w:eastAsia="Times New Roman" w:hAnsi="Times New Roman"/>
          <w:color w:val="222222"/>
          <w:sz w:val="24"/>
          <w:szCs w:val="24"/>
          <w:lang w:eastAsia="en-GB"/>
        </w:rPr>
        <w:t xml:space="preserve">SPAC suggests that these should take place twice </w:t>
      </w:r>
      <w:r w:rsidRPr="00FC7277">
        <w:rPr>
          <w:rFonts w:ascii="Times New Roman" w:eastAsia="Times New Roman" w:hAnsi="Times New Roman"/>
          <w:color w:val="222222"/>
          <w:sz w:val="24"/>
          <w:szCs w:val="24"/>
          <w:lang w:eastAsia="en-GB"/>
        </w:rPr>
        <w:t>a year.  Additional virtual meetings also have value and should be consider to increase dialog and help to exchange ideas.</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 xml:space="preserve">Reports to the SPAC should be </w:t>
      </w:r>
      <w:r>
        <w:rPr>
          <w:rFonts w:ascii="Times New Roman" w:eastAsia="Times New Roman" w:hAnsi="Times New Roman"/>
          <w:color w:val="222222"/>
          <w:sz w:val="24"/>
          <w:szCs w:val="24"/>
          <w:lang w:eastAsia="en-GB"/>
        </w:rPr>
        <w:t>brief</w:t>
      </w:r>
      <w:r w:rsidRPr="00FC7277">
        <w:rPr>
          <w:rFonts w:ascii="Times New Roman" w:eastAsia="Times New Roman" w:hAnsi="Times New Roman"/>
          <w:color w:val="222222"/>
          <w:sz w:val="24"/>
          <w:szCs w:val="24"/>
          <w:lang w:eastAsia="en-GB"/>
        </w:rPr>
        <w:t xml:space="preserve"> and should attempt to synthesize all aspects of progress for the year and </w:t>
      </w:r>
      <w:r>
        <w:rPr>
          <w:rFonts w:ascii="Times New Roman" w:eastAsia="Times New Roman" w:hAnsi="Times New Roman"/>
          <w:color w:val="222222"/>
          <w:sz w:val="24"/>
          <w:szCs w:val="24"/>
          <w:lang w:eastAsia="en-GB"/>
        </w:rPr>
        <w:t>for the overall</w:t>
      </w:r>
      <w:r w:rsidRPr="00FC7277">
        <w:rPr>
          <w:rFonts w:ascii="Times New Roman" w:eastAsia="Times New Roman" w:hAnsi="Times New Roman"/>
          <w:color w:val="222222"/>
          <w:sz w:val="24"/>
          <w:szCs w:val="24"/>
          <w:lang w:eastAsia="en-GB"/>
        </w:rPr>
        <w:t xml:space="preserve"> project to date.</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Reports by the SPAC or any advisory board should be considered carefully. While some organizations may require responses to reviews, we recommend that this be an internal operation and not involve advisory board members</w:t>
      </w:r>
      <w:r>
        <w:rPr>
          <w:rFonts w:ascii="Times New Roman" w:eastAsia="Times New Roman" w:hAnsi="Times New Roman"/>
          <w:color w:val="222222"/>
          <w:sz w:val="24"/>
          <w:szCs w:val="24"/>
          <w:lang w:eastAsia="en-GB"/>
        </w:rPr>
        <w:t>, except where additional explanation or clarity would be helpful</w:t>
      </w:r>
      <w:r w:rsidRPr="00FC7277">
        <w:rPr>
          <w:rFonts w:ascii="Times New Roman" w:eastAsia="Times New Roman" w:hAnsi="Times New Roman"/>
          <w:color w:val="222222"/>
          <w:sz w:val="24"/>
          <w:szCs w:val="24"/>
          <w:lang w:eastAsia="en-GB"/>
        </w:rPr>
        <w:t xml:space="preserve">.  </w:t>
      </w:r>
      <w:r>
        <w:rPr>
          <w:rFonts w:ascii="Times New Roman" w:eastAsia="Times New Roman" w:hAnsi="Times New Roman"/>
          <w:color w:val="222222"/>
          <w:sz w:val="24"/>
          <w:szCs w:val="24"/>
          <w:lang w:eastAsia="en-GB"/>
        </w:rPr>
        <w:t>B</w:t>
      </w:r>
      <w:r w:rsidRPr="00FC7277">
        <w:rPr>
          <w:rFonts w:ascii="Times New Roman" w:eastAsia="Times New Roman" w:hAnsi="Times New Roman"/>
          <w:color w:val="222222"/>
          <w:sz w:val="24"/>
          <w:szCs w:val="24"/>
          <w:lang w:eastAsia="en-GB"/>
        </w:rPr>
        <w:t>ack</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and</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forth responses complicate matters</w:t>
      </w:r>
      <w:r>
        <w:rPr>
          <w:rFonts w:ascii="Times New Roman" w:eastAsia="Times New Roman" w:hAnsi="Times New Roman"/>
          <w:color w:val="222222"/>
          <w:sz w:val="24"/>
          <w:szCs w:val="24"/>
          <w:lang w:eastAsia="en-GB"/>
        </w:rPr>
        <w:t xml:space="preserve"> and</w:t>
      </w:r>
      <w:r w:rsidRPr="00FC7277">
        <w:rPr>
          <w:rFonts w:ascii="Times New Roman" w:eastAsia="Times New Roman" w:hAnsi="Times New Roman"/>
          <w:color w:val="222222"/>
          <w:sz w:val="24"/>
          <w:szCs w:val="24"/>
          <w:lang w:eastAsia="en-GB"/>
        </w:rPr>
        <w:t xml:space="preserve"> create an atmosphere of tension that is not </w:t>
      </w:r>
      <w:r>
        <w:rPr>
          <w:rFonts w:ascii="Times New Roman" w:eastAsia="Times New Roman" w:hAnsi="Times New Roman"/>
          <w:color w:val="222222"/>
          <w:sz w:val="24"/>
          <w:szCs w:val="24"/>
          <w:lang w:eastAsia="en-GB"/>
        </w:rPr>
        <w:t>conducive</w:t>
      </w:r>
      <w:r w:rsidRPr="00FC7277">
        <w:rPr>
          <w:rFonts w:ascii="Times New Roman" w:eastAsia="Times New Roman" w:hAnsi="Times New Roman"/>
          <w:color w:val="222222"/>
          <w:sz w:val="24"/>
          <w:szCs w:val="24"/>
          <w:lang w:eastAsia="en-GB"/>
        </w:rPr>
        <w:t xml:space="preserve"> to honest and constructive review.</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For SPAC or any advisory committee</w:t>
      </w:r>
      <w:r>
        <w:rPr>
          <w:rFonts w:ascii="Times New Roman" w:eastAsia="Times New Roman" w:hAnsi="Times New Roman"/>
          <w:color w:val="222222"/>
          <w:sz w:val="24"/>
          <w:szCs w:val="24"/>
          <w:lang w:eastAsia="en-GB"/>
        </w:rPr>
        <w:t xml:space="preserve">, </w:t>
      </w:r>
      <w:r w:rsidRPr="00FC7277">
        <w:rPr>
          <w:rFonts w:ascii="Times New Roman" w:eastAsia="Times New Roman" w:hAnsi="Times New Roman"/>
          <w:color w:val="222222"/>
          <w:sz w:val="24"/>
          <w:szCs w:val="24"/>
          <w:lang w:eastAsia="en-GB"/>
        </w:rPr>
        <w:t>choice of members of the committee should take into account the level of duties required and the ability of the individual to commit the time required for meetings and activities. Furthermore, while expertise in one subject matter may be required</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 the ability to synthesize a wide range of topics is also needed.</w:t>
      </w:r>
    </w:p>
    <w:p w:rsidR="00E220EF"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 xml:space="preserve">SPAC has appreciated </w:t>
      </w:r>
      <w:r>
        <w:rPr>
          <w:rFonts w:ascii="Times New Roman" w:eastAsia="Times New Roman" w:hAnsi="Times New Roman"/>
          <w:color w:val="222222"/>
          <w:sz w:val="24"/>
          <w:szCs w:val="24"/>
          <w:lang w:eastAsia="en-GB"/>
        </w:rPr>
        <w:t xml:space="preserve">the </w:t>
      </w:r>
      <w:r w:rsidRPr="00FC7277">
        <w:rPr>
          <w:rFonts w:ascii="Times New Roman" w:eastAsia="Times New Roman" w:hAnsi="Times New Roman"/>
          <w:color w:val="222222"/>
          <w:sz w:val="24"/>
          <w:szCs w:val="24"/>
          <w:lang w:eastAsia="en-GB"/>
        </w:rPr>
        <w:t xml:space="preserve">greater involvement of the </w:t>
      </w:r>
      <w:r>
        <w:rPr>
          <w:rFonts w:ascii="Times New Roman" w:eastAsia="Times New Roman" w:hAnsi="Times New Roman"/>
          <w:color w:val="222222"/>
          <w:sz w:val="24"/>
          <w:szCs w:val="24"/>
          <w:lang w:eastAsia="en-GB"/>
        </w:rPr>
        <w:t xml:space="preserve">CRP </w:t>
      </w:r>
      <w:r w:rsidRPr="00FC7277">
        <w:rPr>
          <w:rFonts w:ascii="Times New Roman" w:eastAsia="Times New Roman" w:hAnsi="Times New Roman"/>
          <w:color w:val="222222"/>
          <w:sz w:val="24"/>
          <w:szCs w:val="24"/>
          <w:lang w:eastAsia="en-GB"/>
        </w:rPr>
        <w:t>management team and of the DG.  This should be encouraged for future activities.</w:t>
      </w: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P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Pr="00047249" w:rsidRDefault="00E220EF" w:rsidP="00E220EF">
      <w:pPr>
        <w:rPr>
          <w:rFonts w:ascii="Times New Roman" w:hAnsi="Times New Roman" w:cs="Times New Roman"/>
          <w:b/>
          <w:sz w:val="24"/>
          <w:szCs w:val="24"/>
        </w:rPr>
      </w:pPr>
      <w:r>
        <w:rPr>
          <w:rFonts w:ascii="Times New Roman" w:hAnsi="Times New Roman" w:cs="Times New Roman"/>
          <w:b/>
          <w:sz w:val="24"/>
          <w:szCs w:val="24"/>
        </w:rPr>
        <w:t>SPAC’s r</w:t>
      </w:r>
      <w:r w:rsidRPr="00047249">
        <w:rPr>
          <w:rFonts w:ascii="Times New Roman" w:hAnsi="Times New Roman" w:cs="Times New Roman"/>
          <w:b/>
          <w:sz w:val="24"/>
          <w:szCs w:val="24"/>
        </w:rPr>
        <w:t>eflections on L&amp;F model for AR4D</w:t>
      </w:r>
    </w:p>
    <w:p w:rsidR="00E220EF" w:rsidRPr="0094129F" w:rsidRDefault="00E220EF" w:rsidP="00E220EF">
      <w:pPr>
        <w:pStyle w:val="ListParagraph"/>
        <w:numPr>
          <w:ilvl w:val="0"/>
          <w:numId w:val="21"/>
        </w:numPr>
        <w:spacing w:after="0" w:line="240" w:lineRule="auto"/>
        <w:jc w:val="both"/>
        <w:rPr>
          <w:rFonts w:ascii="Times New Roman" w:hAnsi="Times New Roman"/>
          <w:sz w:val="24"/>
          <w:szCs w:val="24"/>
        </w:rPr>
      </w:pPr>
      <w:r w:rsidRPr="0094129F">
        <w:rPr>
          <w:rFonts w:ascii="Times New Roman" w:hAnsi="Times New Roman"/>
          <w:sz w:val="24"/>
          <w:szCs w:val="24"/>
        </w:rPr>
        <w:t xml:space="preserve">The combined Livestock and Fish (L&amp;F) model CRP was created </w:t>
      </w:r>
      <w:r>
        <w:rPr>
          <w:rFonts w:ascii="Times New Roman" w:hAnsi="Times New Roman"/>
          <w:sz w:val="24"/>
          <w:szCs w:val="24"/>
        </w:rPr>
        <w:t xml:space="preserve">with the idea of </w:t>
      </w:r>
      <w:r w:rsidRPr="0094129F">
        <w:rPr>
          <w:rFonts w:ascii="Times New Roman" w:hAnsi="Times New Roman"/>
          <w:sz w:val="24"/>
          <w:szCs w:val="24"/>
        </w:rPr>
        <w:t>harnessing synergy and improving efficiency in implementation and delivery. It was clear that early on the teams had difficult</w:t>
      </w:r>
      <w:r>
        <w:rPr>
          <w:rFonts w:ascii="Times New Roman" w:hAnsi="Times New Roman"/>
          <w:sz w:val="24"/>
          <w:szCs w:val="24"/>
        </w:rPr>
        <w:t>y</w:t>
      </w:r>
      <w:r w:rsidRPr="0094129F">
        <w:rPr>
          <w:rFonts w:ascii="Times New Roman" w:hAnsi="Times New Roman"/>
          <w:sz w:val="24"/>
          <w:szCs w:val="24"/>
        </w:rPr>
        <w:t xml:space="preserve"> in making this work but it has been noticeable lately that the combined effort has started to pay off</w:t>
      </w:r>
      <w:r>
        <w:rPr>
          <w:rFonts w:ascii="Times New Roman" w:hAnsi="Times New Roman"/>
          <w:sz w:val="24"/>
          <w:szCs w:val="24"/>
        </w:rPr>
        <w:t>,</w:t>
      </w:r>
      <w:r w:rsidRPr="0094129F">
        <w:rPr>
          <w:rFonts w:ascii="Times New Roman" w:hAnsi="Times New Roman"/>
          <w:sz w:val="24"/>
          <w:szCs w:val="24"/>
        </w:rPr>
        <w:t xml:space="preserve"> particularly in the genetics and animal health areas. </w:t>
      </w:r>
    </w:p>
    <w:p w:rsidR="00E220EF" w:rsidRPr="0094129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A major tension from the outset of the CRP (and we gather also in the other CRPs) has been the balance between research and development</w:t>
      </w:r>
      <w:r>
        <w:rPr>
          <w:rFonts w:ascii="Times New Roman" w:hAnsi="Times New Roman"/>
          <w:sz w:val="24"/>
          <w:szCs w:val="24"/>
        </w:rPr>
        <w:t>,</w:t>
      </w:r>
      <w:r w:rsidRPr="0094129F">
        <w:rPr>
          <w:rFonts w:ascii="Times New Roman" w:hAnsi="Times New Roman"/>
          <w:sz w:val="24"/>
          <w:szCs w:val="24"/>
        </w:rPr>
        <w:t xml:space="preserve"> and further</w:t>
      </w:r>
      <w:r>
        <w:rPr>
          <w:rFonts w:ascii="Times New Roman" w:hAnsi="Times New Roman"/>
          <w:sz w:val="24"/>
          <w:szCs w:val="24"/>
        </w:rPr>
        <w:t>,</w:t>
      </w:r>
      <w:r w:rsidRPr="0094129F">
        <w:rPr>
          <w:rFonts w:ascii="Times New Roman" w:hAnsi="Times New Roman"/>
          <w:sz w:val="24"/>
          <w:szCs w:val="24"/>
        </w:rPr>
        <w:t xml:space="preserve"> between basic and more applied research.  At the root of this has been the stated objective of the CRP 3.7 </w:t>
      </w:r>
      <w:r w:rsidRPr="0094129F">
        <w:rPr>
          <w:rFonts w:ascii="Times New Roman" w:hAnsi="Times New Roman"/>
          <w:i/>
          <w:iCs/>
          <w:sz w:val="24"/>
          <w:szCs w:val="24"/>
        </w:rPr>
        <w:t xml:space="preserve">to deliver more milk, meat and fish to the poor by the poor, </w:t>
      </w:r>
      <w:r w:rsidRPr="0094129F">
        <w:rPr>
          <w:rFonts w:ascii="Times New Roman" w:hAnsi="Times New Roman"/>
          <w:sz w:val="24"/>
          <w:szCs w:val="24"/>
        </w:rPr>
        <w:t>and in order to make this happen, functional linkage</w:t>
      </w:r>
      <w:r>
        <w:rPr>
          <w:rFonts w:ascii="Times New Roman" w:hAnsi="Times New Roman"/>
          <w:sz w:val="24"/>
          <w:szCs w:val="24"/>
        </w:rPr>
        <w:t>s</w:t>
      </w:r>
      <w:r w:rsidRPr="0094129F">
        <w:rPr>
          <w:rFonts w:ascii="Times New Roman" w:hAnsi="Times New Roman"/>
          <w:sz w:val="24"/>
          <w:szCs w:val="24"/>
        </w:rPr>
        <w:t xml:space="preserve"> between flagship research and the </w:t>
      </w:r>
      <w:r>
        <w:rPr>
          <w:rFonts w:ascii="Times New Roman" w:hAnsi="Times New Roman"/>
          <w:sz w:val="24"/>
          <w:szCs w:val="24"/>
        </w:rPr>
        <w:t>value chains</w:t>
      </w:r>
      <w:r w:rsidRPr="0094129F">
        <w:rPr>
          <w:rFonts w:ascii="Times New Roman" w:hAnsi="Times New Roman"/>
          <w:sz w:val="24"/>
          <w:szCs w:val="24"/>
        </w:rPr>
        <w:t xml:space="preserve"> must exist. ILRI is a research organization and does not claim to do development work, apart from the new thinking of creating an independent </w:t>
      </w:r>
      <w:r w:rsidRPr="009D2322">
        <w:rPr>
          <w:rFonts w:ascii="Times New Roman" w:hAnsi="Times New Roman"/>
          <w:i/>
          <w:sz w:val="24"/>
          <w:szCs w:val="24"/>
        </w:rPr>
        <w:t>Impact at Scale</w:t>
      </w:r>
      <w:r w:rsidRPr="0094129F">
        <w:rPr>
          <w:rFonts w:ascii="Times New Roman" w:hAnsi="Times New Roman"/>
          <w:sz w:val="24"/>
          <w:szCs w:val="24"/>
        </w:rPr>
        <w:t xml:space="preserve"> programme. Also ILRI had a long term legacy program of research in animal health in particular which was not necessarily directly applicable to the day to day problems of the value chains. Thus there was clearly an applied research / development gap at the level of the </w:t>
      </w:r>
      <w:r>
        <w:rPr>
          <w:rFonts w:ascii="Times New Roman" w:hAnsi="Times New Roman"/>
          <w:sz w:val="24"/>
          <w:szCs w:val="24"/>
        </w:rPr>
        <w:t>value chains</w:t>
      </w:r>
      <w:r w:rsidRPr="0094129F">
        <w:rPr>
          <w:rFonts w:ascii="Times New Roman" w:hAnsi="Times New Roman"/>
          <w:sz w:val="24"/>
          <w:szCs w:val="24"/>
        </w:rPr>
        <w:t>.  This is an issue that the SPAC has repeatedly drawn attention to and</w:t>
      </w:r>
      <w:r>
        <w:rPr>
          <w:rFonts w:ascii="Times New Roman" w:hAnsi="Times New Roman"/>
          <w:sz w:val="24"/>
          <w:szCs w:val="24"/>
        </w:rPr>
        <w:t>,</w:t>
      </w:r>
      <w:r w:rsidRPr="0094129F">
        <w:rPr>
          <w:rFonts w:ascii="Times New Roman" w:hAnsi="Times New Roman"/>
          <w:sz w:val="24"/>
          <w:szCs w:val="24"/>
        </w:rPr>
        <w:t xml:space="preserve"> in fairness</w:t>
      </w:r>
      <w:r>
        <w:rPr>
          <w:rFonts w:ascii="Times New Roman" w:hAnsi="Times New Roman"/>
          <w:sz w:val="24"/>
          <w:szCs w:val="24"/>
        </w:rPr>
        <w:t xml:space="preserve">, </w:t>
      </w:r>
      <w:r w:rsidRPr="0094129F">
        <w:rPr>
          <w:rFonts w:ascii="Times New Roman" w:hAnsi="Times New Roman"/>
          <w:sz w:val="24"/>
          <w:szCs w:val="24"/>
        </w:rPr>
        <w:t>the CRP has attempted to address</w:t>
      </w:r>
      <w:r>
        <w:rPr>
          <w:rFonts w:ascii="Times New Roman" w:hAnsi="Times New Roman"/>
          <w:sz w:val="24"/>
          <w:szCs w:val="24"/>
        </w:rPr>
        <w:t xml:space="preserve"> it</w:t>
      </w:r>
      <w:r w:rsidRPr="0094129F">
        <w:rPr>
          <w:rFonts w:ascii="Times New Roman" w:hAnsi="Times New Roman"/>
          <w:sz w:val="24"/>
          <w:szCs w:val="24"/>
        </w:rPr>
        <w:t xml:space="preserve">, by seeking to investigate and address issues much closer to the everyday needs of the </w:t>
      </w:r>
      <w:r>
        <w:rPr>
          <w:rFonts w:ascii="Times New Roman" w:hAnsi="Times New Roman"/>
          <w:sz w:val="24"/>
          <w:szCs w:val="24"/>
        </w:rPr>
        <w:t>value chains</w:t>
      </w:r>
      <w:r w:rsidRPr="0094129F">
        <w:rPr>
          <w:rFonts w:ascii="Times New Roman" w:hAnsi="Times New Roman"/>
          <w:sz w:val="24"/>
          <w:szCs w:val="24"/>
        </w:rPr>
        <w:t>.</w:t>
      </w:r>
    </w:p>
    <w:p w:rsidR="00E220E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As a research institute</w:t>
      </w:r>
      <w:r>
        <w:rPr>
          <w:rFonts w:ascii="Times New Roman" w:hAnsi="Times New Roman"/>
          <w:sz w:val="24"/>
          <w:szCs w:val="24"/>
        </w:rPr>
        <w:t>,</w:t>
      </w:r>
      <w:r w:rsidRPr="0094129F">
        <w:rPr>
          <w:rFonts w:ascii="Times New Roman" w:hAnsi="Times New Roman"/>
          <w:sz w:val="24"/>
          <w:szCs w:val="24"/>
        </w:rPr>
        <w:t xml:space="preserve"> the key output of ILRI has </w:t>
      </w:r>
      <w:r>
        <w:rPr>
          <w:rFonts w:ascii="Times New Roman" w:hAnsi="Times New Roman"/>
          <w:sz w:val="24"/>
          <w:szCs w:val="24"/>
        </w:rPr>
        <w:t xml:space="preserve">predominantly </w:t>
      </w:r>
      <w:r w:rsidRPr="0094129F">
        <w:rPr>
          <w:rFonts w:ascii="Times New Roman" w:hAnsi="Times New Roman"/>
          <w:sz w:val="24"/>
          <w:szCs w:val="24"/>
        </w:rPr>
        <w:t>been research publications</w:t>
      </w:r>
      <w:r>
        <w:rPr>
          <w:rFonts w:ascii="Times New Roman" w:hAnsi="Times New Roman"/>
          <w:sz w:val="24"/>
          <w:szCs w:val="24"/>
        </w:rPr>
        <w:t>,</w:t>
      </w:r>
      <w:r w:rsidRPr="0094129F">
        <w:rPr>
          <w:rFonts w:ascii="Times New Roman" w:hAnsi="Times New Roman"/>
          <w:sz w:val="24"/>
          <w:szCs w:val="24"/>
        </w:rPr>
        <w:t xml:space="preserve"> and not </w:t>
      </w:r>
      <w:r>
        <w:rPr>
          <w:rFonts w:ascii="Times New Roman" w:hAnsi="Times New Roman"/>
          <w:sz w:val="24"/>
          <w:szCs w:val="24"/>
        </w:rPr>
        <w:t xml:space="preserve">on-the-ground </w:t>
      </w:r>
      <w:r w:rsidRPr="0094129F">
        <w:rPr>
          <w:rFonts w:ascii="Times New Roman" w:hAnsi="Times New Roman"/>
          <w:sz w:val="24"/>
          <w:szCs w:val="24"/>
        </w:rPr>
        <w:t xml:space="preserve">impact. </w:t>
      </w:r>
      <w:r>
        <w:rPr>
          <w:rFonts w:ascii="Times New Roman" w:hAnsi="Times New Roman"/>
          <w:sz w:val="24"/>
          <w:szCs w:val="24"/>
        </w:rPr>
        <w:t xml:space="preserve">With the CRP some transition from primarily publications to a combination of publications and impact has occurred. </w:t>
      </w:r>
      <w:r w:rsidRPr="0094129F">
        <w:rPr>
          <w:rFonts w:ascii="Times New Roman" w:hAnsi="Times New Roman"/>
          <w:sz w:val="24"/>
          <w:szCs w:val="24"/>
        </w:rPr>
        <w:t xml:space="preserve">However, donors are increasingly demanding </w:t>
      </w:r>
      <w:r>
        <w:rPr>
          <w:rFonts w:ascii="Times New Roman" w:hAnsi="Times New Roman"/>
          <w:sz w:val="24"/>
          <w:szCs w:val="24"/>
        </w:rPr>
        <w:t xml:space="preserve">more </w:t>
      </w:r>
      <w:r w:rsidRPr="0094129F">
        <w:rPr>
          <w:rFonts w:ascii="Times New Roman" w:hAnsi="Times New Roman"/>
          <w:sz w:val="24"/>
          <w:szCs w:val="24"/>
        </w:rPr>
        <w:t>evidence of impact</w:t>
      </w:r>
      <w:r>
        <w:rPr>
          <w:rFonts w:ascii="Times New Roman" w:hAnsi="Times New Roman"/>
          <w:sz w:val="24"/>
          <w:szCs w:val="24"/>
        </w:rPr>
        <w:t>,</w:t>
      </w:r>
      <w:r w:rsidRPr="0094129F">
        <w:rPr>
          <w:rFonts w:ascii="Times New Roman" w:hAnsi="Times New Roman"/>
          <w:sz w:val="24"/>
          <w:szCs w:val="24"/>
        </w:rPr>
        <w:t xml:space="preserve"> which necessitates objective measurement</w:t>
      </w:r>
      <w:r>
        <w:rPr>
          <w:rFonts w:ascii="Times New Roman" w:hAnsi="Times New Roman"/>
          <w:sz w:val="24"/>
          <w:szCs w:val="24"/>
        </w:rPr>
        <w:t>,</w:t>
      </w:r>
      <w:r w:rsidRPr="0094129F">
        <w:rPr>
          <w:rFonts w:ascii="Times New Roman" w:hAnsi="Times New Roman"/>
          <w:sz w:val="24"/>
          <w:szCs w:val="24"/>
        </w:rPr>
        <w:t xml:space="preserve"> i.e. M&amp;E</w:t>
      </w:r>
      <w:r>
        <w:rPr>
          <w:rFonts w:ascii="Times New Roman" w:hAnsi="Times New Roman"/>
          <w:sz w:val="24"/>
          <w:szCs w:val="24"/>
        </w:rPr>
        <w:t xml:space="preserve"> and impact assessment</w:t>
      </w:r>
      <w:r w:rsidRPr="0094129F">
        <w:rPr>
          <w:rFonts w:ascii="Times New Roman" w:hAnsi="Times New Roman"/>
          <w:sz w:val="24"/>
          <w:szCs w:val="24"/>
        </w:rPr>
        <w:t xml:space="preserve">.  This has made it </w:t>
      </w:r>
      <w:r>
        <w:rPr>
          <w:rFonts w:ascii="Times New Roman" w:hAnsi="Times New Roman"/>
          <w:sz w:val="24"/>
          <w:szCs w:val="24"/>
        </w:rPr>
        <w:t xml:space="preserve">difficult </w:t>
      </w:r>
      <w:r w:rsidRPr="0094129F">
        <w:rPr>
          <w:rFonts w:ascii="Times New Roman" w:hAnsi="Times New Roman"/>
          <w:sz w:val="24"/>
          <w:szCs w:val="24"/>
        </w:rPr>
        <w:t xml:space="preserve">for SPAC to do </w:t>
      </w:r>
      <w:r>
        <w:rPr>
          <w:rFonts w:ascii="Times New Roman" w:hAnsi="Times New Roman"/>
          <w:sz w:val="24"/>
          <w:szCs w:val="24"/>
        </w:rPr>
        <w:t>a</w:t>
      </w:r>
      <w:r w:rsidRPr="0094129F">
        <w:rPr>
          <w:rFonts w:ascii="Times New Roman" w:hAnsi="Times New Roman"/>
          <w:sz w:val="24"/>
          <w:szCs w:val="24"/>
        </w:rPr>
        <w:t xml:space="preserve"> peer review progress</w:t>
      </w:r>
      <w:r>
        <w:rPr>
          <w:rFonts w:ascii="Times New Roman" w:hAnsi="Times New Roman"/>
          <w:sz w:val="24"/>
          <w:szCs w:val="24"/>
        </w:rPr>
        <w:t xml:space="preserve"> of</w:t>
      </w:r>
      <w:r w:rsidRPr="0094129F">
        <w:rPr>
          <w:rFonts w:ascii="Times New Roman" w:hAnsi="Times New Roman"/>
          <w:sz w:val="24"/>
          <w:szCs w:val="24"/>
        </w:rPr>
        <w:t xml:space="preserve"> the CRP’s overarching goal of </w:t>
      </w:r>
      <w:r w:rsidRPr="0094129F">
        <w:rPr>
          <w:rFonts w:ascii="Times New Roman" w:hAnsi="Times New Roman"/>
          <w:i/>
          <w:iCs/>
          <w:sz w:val="24"/>
          <w:szCs w:val="24"/>
        </w:rPr>
        <w:t>more milk</w:t>
      </w:r>
      <w:r w:rsidRPr="0094129F">
        <w:rPr>
          <w:rFonts w:ascii="Times New Roman" w:hAnsi="Times New Roman"/>
          <w:sz w:val="24"/>
          <w:szCs w:val="24"/>
        </w:rPr>
        <w:t>…. </w:t>
      </w:r>
      <w:r>
        <w:rPr>
          <w:rFonts w:ascii="Times New Roman" w:hAnsi="Times New Roman"/>
          <w:sz w:val="24"/>
          <w:szCs w:val="24"/>
        </w:rPr>
        <w:t>.</w:t>
      </w:r>
      <w:r w:rsidRPr="0094129F">
        <w:rPr>
          <w:rFonts w:ascii="Times New Roman" w:hAnsi="Times New Roman"/>
          <w:sz w:val="24"/>
          <w:szCs w:val="24"/>
        </w:rPr>
        <w:t xml:space="preserve"> </w:t>
      </w:r>
      <w:r>
        <w:rPr>
          <w:rFonts w:ascii="Times New Roman" w:hAnsi="Times New Roman"/>
          <w:sz w:val="24"/>
          <w:szCs w:val="24"/>
        </w:rPr>
        <w:t xml:space="preserve">Future advisory groups will need more information to be helpful in this regard. </w:t>
      </w:r>
      <w:r w:rsidRPr="0094129F">
        <w:rPr>
          <w:rFonts w:ascii="Times New Roman" w:hAnsi="Times New Roman"/>
          <w:sz w:val="24"/>
          <w:szCs w:val="24"/>
        </w:rPr>
        <w:t xml:space="preserve">On discussion with the PPMC it is clear that these issues are well understood and generic across the CG and CRPs. </w:t>
      </w:r>
    </w:p>
    <w:p w:rsidR="00E220E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Pr>
          <w:rFonts w:ascii="Times New Roman" w:hAnsi="Times New Roman"/>
          <w:sz w:val="24"/>
          <w:szCs w:val="24"/>
        </w:rPr>
        <w:t>As an example of more downstream research needs, w</w:t>
      </w:r>
      <w:r w:rsidRPr="0094129F">
        <w:rPr>
          <w:rFonts w:ascii="Times New Roman" w:hAnsi="Times New Roman"/>
          <w:sz w:val="24"/>
          <w:szCs w:val="24"/>
        </w:rPr>
        <w:t xml:space="preserve">e saw the later addition of fish health to the L&amp;F research agenda as potentially addressing a very obvious gap in researching important causes of productivity losses in fish as well as in livestock.  For example, the investigation of summer mortality in tilapia in Egypt and its possible linkage with Tilapia Lake Virus is valuable work. Through this linkage, ILRI was able to provide necessary veterinary and diagnostic capacity to WorldFish for the case investigation. </w:t>
      </w:r>
    </w:p>
    <w:p w:rsidR="00E220EF" w:rsidRPr="0094129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 xml:space="preserve">While we appreciate the rationale for the </w:t>
      </w:r>
      <w:r>
        <w:rPr>
          <w:rFonts w:ascii="Times New Roman" w:hAnsi="Times New Roman"/>
          <w:sz w:val="24"/>
          <w:szCs w:val="24"/>
        </w:rPr>
        <w:t xml:space="preserve">future </w:t>
      </w:r>
      <w:r w:rsidRPr="0094129F">
        <w:rPr>
          <w:rFonts w:ascii="Times New Roman" w:hAnsi="Times New Roman"/>
          <w:sz w:val="24"/>
          <w:szCs w:val="24"/>
        </w:rPr>
        <w:t>separation of fish from livestock (or vice versa) in order to give the Fish</w:t>
      </w:r>
      <w:r>
        <w:rPr>
          <w:rFonts w:ascii="Times New Roman" w:hAnsi="Times New Roman"/>
          <w:sz w:val="24"/>
          <w:szCs w:val="24"/>
        </w:rPr>
        <w:t>-related themes and value chains</w:t>
      </w:r>
      <w:r w:rsidRPr="0094129F">
        <w:rPr>
          <w:rFonts w:ascii="Times New Roman" w:hAnsi="Times New Roman"/>
          <w:sz w:val="24"/>
          <w:szCs w:val="24"/>
        </w:rPr>
        <w:t xml:space="preserve"> </w:t>
      </w:r>
      <w:r>
        <w:rPr>
          <w:rFonts w:ascii="Times New Roman" w:hAnsi="Times New Roman"/>
          <w:sz w:val="24"/>
          <w:szCs w:val="24"/>
        </w:rPr>
        <w:t xml:space="preserve">a </w:t>
      </w:r>
      <w:r w:rsidRPr="0094129F">
        <w:rPr>
          <w:rFonts w:ascii="Times New Roman" w:hAnsi="Times New Roman"/>
          <w:sz w:val="24"/>
          <w:szCs w:val="24"/>
        </w:rPr>
        <w:t>higher profile, the downside is that the valuable research linkages could be discarded.  We still think that there is a lot to be gained by the continued collaboration of the two sectors, as both have similar humanitarian goals. In other words, the institutional collaboration that has been achieved should be continued and strengthened as it is considered that this was beginning to pay off.</w:t>
      </w:r>
    </w:p>
    <w:p w:rsidR="00E220EF" w:rsidRPr="005950F3" w:rsidRDefault="00E220EF" w:rsidP="00E220EF">
      <w:pPr>
        <w:rPr>
          <w:rFonts w:ascii="Times New Roman" w:hAnsi="Times New Roman"/>
          <w:sz w:val="24"/>
          <w:szCs w:val="24"/>
        </w:rPr>
      </w:pPr>
    </w:p>
    <w:p w:rsidR="00EE7AB5" w:rsidRPr="00E56E16" w:rsidRDefault="00E220EF" w:rsidP="00E220EF">
      <w:r w:rsidRPr="00A60B74">
        <w:rPr>
          <w:rFonts w:ascii="Times New Roman" w:hAnsi="Times New Roman" w:cs="Times New Roman"/>
          <w:b/>
          <w:sz w:val="24"/>
          <w:szCs w:val="24"/>
        </w:rPr>
        <w:t xml:space="preserve">Conclusions: </w:t>
      </w:r>
      <w:r w:rsidRPr="00A60B74">
        <w:rPr>
          <w:rFonts w:ascii="Times New Roman" w:hAnsi="Times New Roman" w:cs="Times New Roman"/>
          <w:sz w:val="24"/>
          <w:szCs w:val="24"/>
        </w:rPr>
        <w:t xml:space="preserve">The SPAC is happy to receive questions concerning our review and advice. </w:t>
      </w:r>
      <w:r>
        <w:rPr>
          <w:rFonts w:ascii="Times New Roman" w:hAnsi="Times New Roman" w:cs="Times New Roman"/>
          <w:sz w:val="24"/>
          <w:szCs w:val="24"/>
        </w:rPr>
        <w:t xml:space="preserve">We wish the new advisory team and members of the CRP good luck and success.  </w:t>
      </w:r>
    </w:p>
    <w:sectPr w:rsidR="00EE7AB5" w:rsidRPr="00E56E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6D1" w:rsidRDefault="00B636D1" w:rsidP="003A2003">
      <w:r>
        <w:separator/>
      </w:r>
    </w:p>
  </w:endnote>
  <w:endnote w:type="continuationSeparator" w:id="0">
    <w:p w:rsidR="00B636D1" w:rsidRDefault="00B636D1"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pPr>
    <w:r>
      <w:ptab w:relativeTo="margin" w:alignment="right" w:leader="none"/>
    </w:r>
    <w:r>
      <w:fldChar w:fldCharType="begin"/>
    </w:r>
    <w:r>
      <w:instrText xml:space="preserve"> PAGE </w:instrText>
    </w:r>
    <w:r>
      <w:fldChar w:fldCharType="separate"/>
    </w:r>
    <w:r w:rsidR="00836C15">
      <w:rPr>
        <w:noProof/>
      </w:rPr>
      <w:t>2</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066348"/>
      <w:docPartObj>
        <w:docPartGallery w:val="Page Numbers (Bottom of Page)"/>
        <w:docPartUnique/>
      </w:docPartObj>
    </w:sdtPr>
    <w:sdtEndPr>
      <w:rPr>
        <w:noProof/>
      </w:rPr>
    </w:sdtEndPr>
    <w:sdtContent>
      <w:p w:rsidR="00522F01" w:rsidRDefault="00522F01">
        <w:pPr>
          <w:pStyle w:val="Footer"/>
          <w:jc w:val="right"/>
        </w:pPr>
        <w:r>
          <w:fldChar w:fldCharType="begin"/>
        </w:r>
        <w:r>
          <w:instrText xml:space="preserve"> PAGE   \* MERGEFORMAT </w:instrText>
        </w:r>
        <w:r>
          <w:fldChar w:fldCharType="separate"/>
        </w:r>
        <w:r w:rsidR="00836C15">
          <w:rPr>
            <w:noProof/>
          </w:rPr>
          <w:t>1</w:t>
        </w:r>
        <w:r>
          <w:rPr>
            <w:noProof/>
          </w:rPr>
          <w:fldChar w:fldCharType="end"/>
        </w:r>
      </w:p>
    </w:sdtContent>
  </w:sdt>
  <w:p w:rsidR="00522F01" w:rsidRDefault="00522F0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6D1" w:rsidRDefault="00B636D1" w:rsidP="003A2003">
      <w:r>
        <w:separator/>
      </w:r>
    </w:p>
  </w:footnote>
  <w:footnote w:type="continuationSeparator" w:id="0">
    <w:p w:rsidR="00B636D1" w:rsidRDefault="00B636D1"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7F7B"/>
    <w:multiLevelType w:val="hybridMultilevel"/>
    <w:tmpl w:val="BF443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56354"/>
    <w:multiLevelType w:val="hybridMultilevel"/>
    <w:tmpl w:val="9A5E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15:restartNumberingAfterBreak="0">
    <w:nsid w:val="208D6A5F"/>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22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AEB0E3C"/>
    <w:multiLevelType w:val="hybridMultilevel"/>
    <w:tmpl w:val="122EF392"/>
    <w:lvl w:ilvl="0" w:tplc="0409000F">
      <w:start w:val="1"/>
      <w:numFmt w:val="decimal"/>
      <w:lvlText w:val="%1."/>
      <w:lvlJc w:val="left"/>
      <w:pPr>
        <w:ind w:left="720" w:hanging="360"/>
      </w:pPr>
    </w:lvl>
    <w:lvl w:ilvl="1" w:tplc="F2D4627C">
      <w:start w:val="1"/>
      <w:numFmt w:val="decimal"/>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5B74623"/>
    <w:multiLevelType w:val="hybridMultilevel"/>
    <w:tmpl w:val="EB7A245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94ED9"/>
    <w:multiLevelType w:val="hybridMultilevel"/>
    <w:tmpl w:val="41781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9FD41A8"/>
    <w:multiLevelType w:val="hybridMultilevel"/>
    <w:tmpl w:val="F36E4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F00ADB"/>
    <w:multiLevelType w:val="multilevel"/>
    <w:tmpl w:val="3008132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9D34969"/>
    <w:multiLevelType w:val="hybridMultilevel"/>
    <w:tmpl w:val="F8740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94285B"/>
    <w:multiLevelType w:val="hybridMultilevel"/>
    <w:tmpl w:val="DB96B08A"/>
    <w:lvl w:ilvl="0" w:tplc="F2D4627C">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5A6ADD"/>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5964897"/>
    <w:multiLevelType w:val="hybridMultilevel"/>
    <w:tmpl w:val="0142A110"/>
    <w:lvl w:ilvl="0" w:tplc="F2D4627C">
      <w:start w:val="1"/>
      <w:numFmt w:val="decimal"/>
      <w:lvlText w:val="%1."/>
      <w:lvlJc w:val="left"/>
      <w:pPr>
        <w:ind w:left="1130" w:hanging="410"/>
      </w:pPr>
      <w:rPr>
        <w:rFonts w:asciiTheme="minorHAnsi" w:eastAsia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2"/>
  </w:num>
  <w:num w:numId="8">
    <w:abstractNumId w:val="13"/>
  </w:num>
  <w:num w:numId="9">
    <w:abstractNumId w:val="10"/>
  </w:num>
  <w:num w:numId="10">
    <w:abstractNumId w:val="17"/>
  </w:num>
  <w:num w:numId="11">
    <w:abstractNumId w:val="11"/>
  </w:num>
  <w:num w:numId="12">
    <w:abstractNumId w:val="15"/>
  </w:num>
  <w:num w:numId="13">
    <w:abstractNumId w:val="5"/>
  </w:num>
  <w:num w:numId="14">
    <w:abstractNumId w:val="1"/>
  </w:num>
  <w:num w:numId="15">
    <w:abstractNumId w:val="0"/>
  </w:num>
  <w:num w:numId="16">
    <w:abstractNumId w:val="7"/>
  </w:num>
  <w:num w:numId="17">
    <w:abstractNumId w:val="12"/>
  </w:num>
  <w:num w:numId="18">
    <w:abstractNumId w:val="1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94AB8"/>
    <w:rsid w:val="000951AA"/>
    <w:rsid w:val="000A2FED"/>
    <w:rsid w:val="000B6412"/>
    <w:rsid w:val="00115AFE"/>
    <w:rsid w:val="00164973"/>
    <w:rsid w:val="001A108C"/>
    <w:rsid w:val="001D7753"/>
    <w:rsid w:val="001E3CC2"/>
    <w:rsid w:val="001E3E6A"/>
    <w:rsid w:val="00207CDA"/>
    <w:rsid w:val="00264B06"/>
    <w:rsid w:val="0026769E"/>
    <w:rsid w:val="002A3049"/>
    <w:rsid w:val="002A4023"/>
    <w:rsid w:val="002F0E1D"/>
    <w:rsid w:val="00355397"/>
    <w:rsid w:val="00377D2D"/>
    <w:rsid w:val="00394DDD"/>
    <w:rsid w:val="003A2003"/>
    <w:rsid w:val="003C74E4"/>
    <w:rsid w:val="0040646D"/>
    <w:rsid w:val="00461757"/>
    <w:rsid w:val="00473EE6"/>
    <w:rsid w:val="004F1919"/>
    <w:rsid w:val="004F58A8"/>
    <w:rsid w:val="00522F01"/>
    <w:rsid w:val="00531B24"/>
    <w:rsid w:val="005431F3"/>
    <w:rsid w:val="00551417"/>
    <w:rsid w:val="00553AA7"/>
    <w:rsid w:val="00554E38"/>
    <w:rsid w:val="005715E6"/>
    <w:rsid w:val="00571806"/>
    <w:rsid w:val="0057519C"/>
    <w:rsid w:val="00577C19"/>
    <w:rsid w:val="005A527A"/>
    <w:rsid w:val="005D774A"/>
    <w:rsid w:val="005E1FA0"/>
    <w:rsid w:val="005E69A6"/>
    <w:rsid w:val="00622B11"/>
    <w:rsid w:val="0063450C"/>
    <w:rsid w:val="00641675"/>
    <w:rsid w:val="006568B2"/>
    <w:rsid w:val="006971E2"/>
    <w:rsid w:val="006B25AA"/>
    <w:rsid w:val="006E2BC3"/>
    <w:rsid w:val="006F7E38"/>
    <w:rsid w:val="007162E7"/>
    <w:rsid w:val="007313E5"/>
    <w:rsid w:val="00776420"/>
    <w:rsid w:val="007A584A"/>
    <w:rsid w:val="007A5D0B"/>
    <w:rsid w:val="007B721E"/>
    <w:rsid w:val="007E14C6"/>
    <w:rsid w:val="007F33E6"/>
    <w:rsid w:val="008017E7"/>
    <w:rsid w:val="00836C15"/>
    <w:rsid w:val="00852963"/>
    <w:rsid w:val="00861FA9"/>
    <w:rsid w:val="00866055"/>
    <w:rsid w:val="00871BD1"/>
    <w:rsid w:val="00892BFC"/>
    <w:rsid w:val="008C0646"/>
    <w:rsid w:val="008D535D"/>
    <w:rsid w:val="008E17A7"/>
    <w:rsid w:val="008F61CE"/>
    <w:rsid w:val="0094003E"/>
    <w:rsid w:val="00945A4E"/>
    <w:rsid w:val="00950436"/>
    <w:rsid w:val="00967A10"/>
    <w:rsid w:val="00993E9E"/>
    <w:rsid w:val="009A381C"/>
    <w:rsid w:val="009A4E9A"/>
    <w:rsid w:val="009C1660"/>
    <w:rsid w:val="00A22615"/>
    <w:rsid w:val="00A43B3D"/>
    <w:rsid w:val="00A43E1B"/>
    <w:rsid w:val="00A463F0"/>
    <w:rsid w:val="00A60B0D"/>
    <w:rsid w:val="00A67E0D"/>
    <w:rsid w:val="00A90F3E"/>
    <w:rsid w:val="00AA2F43"/>
    <w:rsid w:val="00AC6E72"/>
    <w:rsid w:val="00AE4036"/>
    <w:rsid w:val="00B02435"/>
    <w:rsid w:val="00B10401"/>
    <w:rsid w:val="00B33DF1"/>
    <w:rsid w:val="00B45FED"/>
    <w:rsid w:val="00B63693"/>
    <w:rsid w:val="00B636D1"/>
    <w:rsid w:val="00B67E16"/>
    <w:rsid w:val="00B75138"/>
    <w:rsid w:val="00B97D49"/>
    <w:rsid w:val="00BB1DB1"/>
    <w:rsid w:val="00BD50AA"/>
    <w:rsid w:val="00BE2DC3"/>
    <w:rsid w:val="00C35592"/>
    <w:rsid w:val="00C41462"/>
    <w:rsid w:val="00C42F83"/>
    <w:rsid w:val="00C5583E"/>
    <w:rsid w:val="00CF5065"/>
    <w:rsid w:val="00D02017"/>
    <w:rsid w:val="00D05DB1"/>
    <w:rsid w:val="00D074A8"/>
    <w:rsid w:val="00D24022"/>
    <w:rsid w:val="00D256CD"/>
    <w:rsid w:val="00D46B5A"/>
    <w:rsid w:val="00D60298"/>
    <w:rsid w:val="00D87204"/>
    <w:rsid w:val="00D873C0"/>
    <w:rsid w:val="00D91316"/>
    <w:rsid w:val="00D970CE"/>
    <w:rsid w:val="00DB5BE1"/>
    <w:rsid w:val="00DB5EF1"/>
    <w:rsid w:val="00DE7356"/>
    <w:rsid w:val="00E11D85"/>
    <w:rsid w:val="00E220EF"/>
    <w:rsid w:val="00E47F00"/>
    <w:rsid w:val="00E56E16"/>
    <w:rsid w:val="00EA483C"/>
    <w:rsid w:val="00EA4954"/>
    <w:rsid w:val="00EC29A2"/>
    <w:rsid w:val="00ED7289"/>
    <w:rsid w:val="00EE7AB5"/>
    <w:rsid w:val="00EF708F"/>
    <w:rsid w:val="00F06C16"/>
    <w:rsid w:val="00F14BE6"/>
    <w:rsid w:val="00F251C7"/>
    <w:rsid w:val="00F542F3"/>
    <w:rsid w:val="00F62085"/>
    <w:rsid w:val="00F6569A"/>
    <w:rsid w:val="00F72DC5"/>
    <w:rsid w:val="00F90F49"/>
    <w:rsid w:val="00FD16CA"/>
    <w:rsid w:val="00FD3B45"/>
    <w:rsid w:val="00FE098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Scriptoria bullet points"/>
    <w:basedOn w:val="Normal"/>
    <w:link w:val="ListParagraphChar"/>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character" w:customStyle="1" w:styleId="ListParagraphChar">
    <w:name w:val="List Paragraph Char"/>
    <w:aliases w:val="Bullets Char,Scriptoria bullet points Char"/>
    <w:link w:val="ListParagraph"/>
    <w:uiPriority w:val="34"/>
    <w:locked/>
    <w:rsid w:val="009C1660"/>
    <w:rPr>
      <w:rFonts w:cstheme="minorHAnsi"/>
      <w:color w:val="000000" w:themeColor="text2" w:themeShade="BF"/>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134559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http://purl.org/dc/dcmitype/"/>
    <ds:schemaRef ds:uri="9f5e9607-a28b-487e-b093-da60e75ee10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0DB5204F-78AF-44C8-8D67-B64A520C4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6911</Words>
  <Characters>39395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46214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2017-05-15T05:37:00Z</dcterms:created>
  <dcterms:modified xsi:type="dcterms:W3CDTF">2017-05-15T05:37:00Z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